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jc w:val="center"/>
      </w:pPr>
      <w:r>
        <w:rPr>
          <w:rFonts w:ascii="Microsoft YaHei" w:hAnsi="Microsoft YaHei" w:eastAsia="Microsoft YaHei"/>
          <w:b/>
          <w:i w:val="0"/>
          <w:color w:val="0A2540"/>
          <w:sz w:val="40"/>
        </w:rPr>
        <w:t>健康服务连锁客户经营白皮书</w:t>
      </w:r>
    </w:p>
    <w:p>
      <w:pPr>
        <w:spacing w:before="0" w:after="200"/>
        <w:jc w:val="center"/>
      </w:pPr>
      <w:r>
        <w:rPr>
          <w:rFonts w:ascii="Microsoft YaHei" w:hAnsi="Microsoft YaHei" w:eastAsia="Microsoft YaHei"/>
          <w:b w:val="0"/>
          <w:i w:val="0"/>
          <w:color w:val="B8820B"/>
          <w:sz w:val="24"/>
        </w:rPr>
        <w:t>KYC 十步（健康版）｜ KYC-10 Steps, Health Edition</w:t>
      </w:r>
    </w:p>
    <w:p>
      <w:pPr>
        <w:spacing w:before="80" w:after="160"/>
        <w:jc w:val="center"/>
      </w:pPr>
      <w:r>
        <w:rPr>
          <w:rFonts w:ascii="Microsoft YaHei" w:hAnsi="Microsoft YaHei" w:eastAsia="Microsoft YaHei"/>
          <w:b w:val="0"/>
          <w:i/>
          <w:color w:val="222222"/>
          <w:sz w:val="21"/>
        </w:rPr>
        <w:t>把 A3 美业版的"KYC 十步"方法论迁移到健康服务连锁场景——从破冰到转介拆成十个可训练、可复制、可考核的客户经营步骤，让健康服务的客户关系沉淀在组织里而非个人微信里。</w:t>
      </w:r>
    </w:p>
    <w:p>
      <w:pPr>
        <w:spacing w:before="40" w:after="40"/>
        <w:jc w:val="center"/>
      </w:pPr>
      <w:r>
        <w:rPr>
          <w:rFonts w:ascii="Microsoft YaHei" w:hAnsi="Microsoft YaHei" w:eastAsia="Microsoft YaHei"/>
          <w:b/>
          <w:i w:val="0"/>
          <w:color w:val="0A2540"/>
          <w:sz w:val="22"/>
        </w:rPr>
        <w:t>—— 硕昂咨询 · 行动学习研究院 ——</w:t>
      </w:r>
    </w:p>
    <w:p>
      <w:pPr>
        <w:spacing w:before="40" w:after="40"/>
        <w:jc w:val="center"/>
      </w:pPr>
      <w:r>
        <w:rPr>
          <w:rFonts w:ascii="Microsoft YaHei" w:hAnsi="Microsoft YaHei" w:eastAsia="Microsoft YaHei"/>
          <w:b w:val="0"/>
          <w:i w:val="0"/>
          <w:color w:val="B8820B"/>
          <w:sz w:val="19"/>
        </w:rPr>
        <w:t>白皮书系列 · 美业 &amp; 大健康连锁　｜　主轴：实战信誉 × 可验证交付　｜　2026-09-26</w:t>
      </w:r>
    </w:p>
    <w:p>
      <w:pPr>
        <w:spacing w:before="40" w:after="20"/>
        <w:jc w:val="center"/>
      </w:pPr>
      <w:r>
        <w:rPr>
          <w:rFonts w:ascii="Microsoft YaHei" w:hAnsi="Microsoft YaHei" w:eastAsia="Microsoft YaHei"/>
          <w:b w:val="0"/>
          <w:i w:val="0"/>
          <w:color w:val="222222"/>
          <w:sz w:val="19"/>
        </w:rPr>
        <w:t>机构定位：严选中创新，定制化提升，多维度赋能｜行动学习赋能专家——您的贴身赋能顾问</w:t>
      </w:r>
    </w:p>
    <w:p>
      <w:pPr>
        <w:spacing w:before="40" w:after="200"/>
        <w:jc w:val="center"/>
      </w:pPr>
      <w:r>
        <w:rPr>
          <w:rFonts w:ascii="Microsoft YaHei" w:hAnsi="Microsoft YaHei" w:eastAsia="Microsoft YaHei"/>
          <w:b w:val="0"/>
          <w:i w:val="0"/>
          <w:color w:val="222222"/>
          <w:sz w:val="19"/>
        </w:rPr>
        <w:t>使命：助力企业提升组织能力和团队效能</w:t>
      </w:r>
    </w:p>
    <w:p>
      <w:pPr>
        <w:spacing w:before="40" w:after="160"/>
      </w:pPr>
      <w:r>
        <w:rPr>
          <w:rFonts w:ascii="Microsoft YaHei" w:hAnsi="Microsoft YaHei" w:eastAsia="Microsoft YaHei"/>
          <w:b w:val="0"/>
          <w:i/>
          <w:color w:val="666666"/>
          <w:sz w:val="17"/>
        </w:rPr>
        <w:t>（视觉规范说明：本白皮书采用硕昂标准视觉系统——主色 navy #0A2540，强调色 gold #B8820B，留白克制、无装饰性贴图。以下章节正文与表格均在该规范下编排。）</w:t>
      </w:r>
    </w:p>
    <w:p>
      <w:pPr>
        <w:pStyle w:val="Heading1"/>
        <w:spacing w:before="240" w:after="120"/>
        <w:pBdr>
          <w:bottom w:val="single" w:sz="6" w:space="2" w:color="B8820B"/>
        </w:pBdr>
      </w:pPr>
      <w:r>
        <w:rPr>
          <w:rFonts w:ascii="Microsoft YaHei" w:hAnsi="Microsoft YaHei" w:eastAsia="Microsoft YaHei"/>
          <w:b/>
          <w:color w:val="0A2540"/>
          <w:sz w:val="30"/>
        </w:rPr>
        <w:t>一、摘要（Executive Summary）</w:t>
      </w:r>
    </w:p>
    <w:p>
      <w:pPr>
        <w:spacing w:before="40" w:after="120"/>
      </w:pPr>
      <w:r>
        <w:rPr>
          <w:rFonts w:ascii="Microsoft YaHei" w:hAnsi="Microsoft YaHei" w:eastAsia="Microsoft YaHei"/>
          <w:b w:val="0"/>
          <w:i w:val="0"/>
          <w:color w:val="222222"/>
          <w:sz w:val="21"/>
        </w:rPr>
        <w:t>本摘要独立成篇，约 5 分钟可读完，结论先行。以下五条论点可供决策者直接引用，正文不再引入新信息。</w:t>
      </w:r>
    </w:p>
    <w:p>
      <w:pPr>
        <w:spacing w:before="40" w:after="80"/>
      </w:pPr>
      <w:r>
        <w:rPr>
          <w:rFonts w:ascii="Microsoft YaHei" w:hAnsi="Microsoft YaHei" w:eastAsia="Microsoft YaHei"/>
          <w:b/>
          <w:color w:val="0A2540"/>
          <w:sz w:val="21"/>
        </w:rPr>
        <w:t>【论点一】</w:t>
      </w:r>
      <w:r>
        <w:rPr>
          <w:rFonts w:ascii="Microsoft YaHei" w:hAnsi="Microsoft YaHei" w:eastAsia="Microsoft YaHei"/>
          <w:b w:val="0"/>
          <w:color w:val="222222"/>
          <w:sz w:val="21"/>
        </w:rPr>
        <w:t>健康服务连锁的客户关系一旦沉淀在顾问个人微信里，既是"组织资产泄漏"风险，更是《个人信息保护法》意义上的合规风险。</w:t>
      </w:r>
    </w:p>
    <w:p>
      <w:pPr>
        <w:spacing w:before="40" w:after="120"/>
      </w:pPr>
      <w:r>
        <w:rPr>
          <w:rFonts w:ascii="Microsoft YaHei" w:hAnsi="Microsoft YaHei" w:eastAsia="Microsoft YaHei"/>
          <w:b w:val="0"/>
          <w:i w:val="0"/>
          <w:color w:val="222222"/>
          <w:sz w:val="21"/>
        </w:rPr>
        <w:t>健康服务的核心资产是客户的健康档案、需求与信任关系，而医疗健康信息属法定敏感个人信息。关系在个人、不在组织，顾问一离职，客户与合规风险同时流失——这是健康连锁规模化的隐性失血点。白皮书主张把客户资产"组织化、合规化"。</w:t>
      </w:r>
    </w:p>
    <w:p>
      <w:pPr>
        <w:spacing w:before="40" w:after="80"/>
      </w:pPr>
      <w:r>
        <w:rPr>
          <w:rFonts w:ascii="Microsoft YaHei" w:hAnsi="Microsoft YaHei" w:eastAsia="Microsoft YaHei"/>
          <w:b/>
          <w:color w:val="0A2540"/>
          <w:sz w:val="21"/>
        </w:rPr>
        <w:t>【论点二】</w:t>
      </w:r>
      <w:r>
        <w:rPr>
          <w:rFonts w:ascii="Microsoft YaHei" w:hAnsi="Microsoft YaHei" w:eastAsia="Microsoft YaHei"/>
          <w:b w:val="0"/>
          <w:color w:val="222222"/>
          <w:sz w:val="21"/>
        </w:rPr>
        <w:t>解决之道不是再填一张表，而是一套可训练、可复制、可考核的框架：KYC 十步（健康版）（KYC-10 Steps, Health Edition）。</w:t>
      </w:r>
    </w:p>
    <w:p>
      <w:pPr>
        <w:spacing w:before="40" w:after="120"/>
      </w:pPr>
      <w:r>
        <w:rPr>
          <w:rFonts w:ascii="Microsoft YaHei" w:hAnsi="Microsoft YaHei" w:eastAsia="Microsoft YaHei"/>
          <w:b w:val="0"/>
          <w:i w:val="0"/>
          <w:color w:val="222222"/>
          <w:sz w:val="21"/>
        </w:rPr>
        <w:t>本白皮书采用客户指定的权威命名框架「KYC 十步（健康版）」，把从破冰到转介的健康客户经营全旅程拆成十个关键步骤，并针对健康场景重写话术、字段与合规注意点，让 KYC 成为日常动作而非应付检查。</w:t>
      </w:r>
    </w:p>
    <w:p>
      <w:pPr>
        <w:spacing w:before="40" w:after="80"/>
      </w:pPr>
      <w:r>
        <w:rPr>
          <w:rFonts w:ascii="Microsoft YaHei" w:hAnsi="Microsoft YaHei" w:eastAsia="Microsoft YaHei"/>
          <w:b/>
          <w:color w:val="0A2540"/>
          <w:sz w:val="21"/>
        </w:rPr>
        <w:t>【论点三】</w:t>
      </w:r>
      <w:r>
        <w:rPr>
          <w:rFonts w:ascii="Microsoft YaHei" w:hAnsi="Microsoft YaHei" w:eastAsia="Microsoft YaHei"/>
          <w:b w:val="0"/>
          <w:color w:val="222222"/>
          <w:sz w:val="21"/>
        </w:rPr>
        <w:t>留存是健康服务连锁的经济学底座：国际基准显示健身/健康俱乐部年会员留存约 66%，健康订阅类月流失率约 5%–8%——留得住才赚得到。</w:t>
      </w:r>
    </w:p>
    <w:p>
      <w:pPr>
        <w:spacing w:before="40" w:after="120"/>
      </w:pPr>
      <w:r>
        <w:rPr>
          <w:rFonts w:ascii="Microsoft YaHei" w:hAnsi="Microsoft YaHei" w:eastAsia="Microsoft YaHei"/>
          <w:b w:val="0"/>
          <w:i w:val="0"/>
          <w:color w:val="222222"/>
          <w:sz w:val="21"/>
        </w:rPr>
        <w:t>据 Health &amp; Fitness Association（2025 基准报告，含 175 家企业、17,000+ 设施，2024 数据）会员年留存约 66.4%；麦肯锡（2024）指出健康订阅类月流失率约 5%–8%。高获客成本叠加低留存，正是把关系"组织化"的商业理由。</w:t>
      </w:r>
    </w:p>
    <w:p>
      <w:pPr>
        <w:spacing w:before="40" w:after="80"/>
      </w:pPr>
      <w:r>
        <w:rPr>
          <w:rFonts w:ascii="Microsoft YaHei" w:hAnsi="Microsoft YaHei" w:eastAsia="Microsoft YaHei"/>
          <w:b/>
          <w:color w:val="0A2540"/>
          <w:sz w:val="21"/>
        </w:rPr>
        <w:t>【论点四】</w:t>
      </w:r>
      <w:r>
        <w:rPr>
          <w:rFonts w:ascii="Microsoft YaHei" w:hAnsi="Microsoft YaHei" w:eastAsia="Microsoft YaHei"/>
          <w:b w:val="0"/>
          <w:color w:val="222222"/>
          <w:sz w:val="21"/>
        </w:rPr>
        <w:t>交付必须经得起验证：以"课前诊断—课中行动学习—课后检核"三阶段，确保 KYC 真正落地，而非听完即忘。</w:t>
      </w:r>
    </w:p>
    <w:p>
      <w:pPr>
        <w:spacing w:before="40" w:after="120"/>
      </w:pPr>
      <w:r>
        <w:rPr>
          <w:rFonts w:ascii="Microsoft YaHei" w:hAnsi="Microsoft YaHei" w:eastAsia="Microsoft YaHei"/>
          <w:b w:val="0"/>
          <w:i w:val="0"/>
          <w:color w:val="222222"/>
          <w:sz w:val="21"/>
        </w:rPr>
        <w:t>硕昂以行动学习（Action Learning）方式交付，课中即产出个人《客户经营 KYC 表》，课后用应用检核保证转化；硕昂自身交付指标均标注"来源：交付台账，待脱敏"，不与第三方基准混用。</w:t>
      </w:r>
    </w:p>
    <w:p>
      <w:pPr>
        <w:spacing w:before="40" w:after="80"/>
      </w:pPr>
      <w:r>
        <w:rPr>
          <w:rFonts w:ascii="Microsoft YaHei" w:hAnsi="Microsoft YaHei" w:eastAsia="Microsoft YaHei"/>
          <w:b/>
          <w:color w:val="0A2540"/>
          <w:sz w:val="21"/>
        </w:rPr>
        <w:t>【论点五】</w:t>
      </w:r>
      <w:r>
        <w:rPr>
          <w:rFonts w:ascii="Microsoft YaHei" w:hAnsi="Microsoft YaHei" w:eastAsia="Microsoft YaHei"/>
          <w:b w:val="0"/>
          <w:color w:val="222222"/>
          <w:sz w:val="21"/>
        </w:rPr>
        <w:t>转介绍是健康服务最高效的获客，但必须在合规前提下设计——口碑可复制，越界则违规。</w:t>
      </w:r>
    </w:p>
    <w:p>
      <w:pPr>
        <w:spacing w:before="40" w:after="160"/>
      </w:pPr>
      <w:r>
        <w:rPr>
          <w:rFonts w:ascii="Microsoft YaHei" w:hAnsi="Microsoft YaHei" w:eastAsia="Microsoft YaHei"/>
          <w:b w:val="0"/>
          <w:i w:val="0"/>
          <w:color w:val="222222"/>
          <w:sz w:val="21"/>
        </w:rPr>
        <w:t>医疗服务忠诚度（NPS）基准差异极大（公开案例从 41 到 89 不等），说明口碑可被经营；而健康数据的敏感性决定转介绍动作须内嵌单独同意与去标识化规则。</w:t>
      </w:r>
    </w:p>
    <w:p>
      <w:pPr>
        <w:pStyle w:val="Heading1"/>
        <w:spacing w:before="240" w:after="120"/>
        <w:pBdr>
          <w:bottom w:val="single" w:sz="6" w:space="2" w:color="B8820B"/>
        </w:pBdr>
      </w:pPr>
      <w:r>
        <w:rPr>
          <w:rFonts w:ascii="Microsoft YaHei" w:hAnsi="Microsoft YaHei" w:eastAsia="Microsoft YaHei"/>
          <w:b/>
          <w:color w:val="0A2540"/>
          <w:sz w:val="30"/>
        </w:rPr>
        <w:t>二、SCQA 开篇</w:t>
      </w:r>
    </w:p>
    <w:p>
      <w:pPr>
        <w:spacing w:before="40" w:after="80"/>
      </w:pPr>
      <w:r>
        <w:rPr>
          <w:rFonts w:ascii="Microsoft YaHei" w:hAnsi="Microsoft YaHei" w:eastAsia="Microsoft YaHei"/>
          <w:b w:val="0"/>
          <w:i w:val="0"/>
          <w:color w:val="222222"/>
          <w:sz w:val="21"/>
        </w:rPr>
        <w:t>S（稳定现状）：健康服务连锁（体检、健康管理、疗愈、养生、康养）靠持续的关系经营活下来——客户信任、健康档案与复购是其最核心、也最隐形的资产。</w:t>
      </w:r>
    </w:p>
    <w:p>
      <w:pPr>
        <w:spacing w:before="40" w:after="80"/>
      </w:pPr>
      <w:r>
        <w:rPr>
          <w:rFonts w:ascii="Microsoft YaHei" w:hAnsi="Microsoft YaHei" w:eastAsia="Microsoft YaHei"/>
          <w:b w:val="0"/>
          <w:i w:val="0"/>
          <w:color w:val="222222"/>
          <w:sz w:val="21"/>
        </w:rPr>
        <w:t>C（正在崩坏）：但关系与数据沉淀在顾问个人微信里：客户资料散、不标准；不会问健康需求，只会上项目；复购靠运气，不靠经营；KYC 流于填表、没人真用。更棘手的是，医疗健康信息属法定敏感个人信息，散落在个人聊天工具中本身就是合规隐患。顾问一离职，客户与合规风险随之流失。</w:t>
      </w:r>
    </w:p>
    <w:p>
      <w:pPr>
        <w:spacing w:before="40" w:after="80"/>
      </w:pPr>
      <w:r>
        <w:rPr>
          <w:rFonts w:ascii="Microsoft YaHei" w:hAnsi="Microsoft YaHei" w:eastAsia="Microsoft YaHei"/>
          <w:b w:val="0"/>
          <w:i w:val="0"/>
          <w:color w:val="222222"/>
          <w:sz w:val="21"/>
        </w:rPr>
        <w:t>Q（待决问题）：如何把"靠人"的健康客户经营，变成"靠组织"的可复制能力，让复购与转介绍不再听天由命，且全程合规？</w:t>
      </w:r>
    </w:p>
    <w:p>
      <w:pPr>
        <w:spacing w:before="40" w:after="160"/>
      </w:pPr>
      <w:r>
        <w:rPr>
          <w:rFonts w:ascii="Microsoft YaHei" w:hAnsi="Microsoft YaHei" w:eastAsia="Microsoft YaHei"/>
          <w:b w:val="0"/>
          <w:i w:val="0"/>
          <w:color w:val="222222"/>
          <w:sz w:val="21"/>
        </w:rPr>
        <w:t>A（我们的主张）：用 KYC 十步（健康版）（KYC-10 Steps, Health Edition）框架，把健康客户经营拆成十个可训练、可复制、可考核的步骤，并以"课前—课中—课后"三阶段可验证交付，让客户资产留在组织里、数据留在合规边界内。</w:t>
      </w:r>
    </w:p>
    <w:p>
      <w:pPr>
        <w:pStyle w:val="Heading1"/>
        <w:spacing w:before="240" w:after="120"/>
        <w:pBdr>
          <w:bottom w:val="single" w:sz="6" w:space="2" w:color="B8820B"/>
        </w:pBdr>
      </w:pPr>
      <w:r>
        <w:rPr>
          <w:rFonts w:ascii="Microsoft YaHei" w:hAnsi="Microsoft YaHei" w:eastAsia="Microsoft YaHei"/>
          <w:b/>
          <w:color w:val="0A2540"/>
          <w:sz w:val="30"/>
        </w:rPr>
        <w:t>三、核心论点与命名框架：KYC 十步（健康版）</w:t>
      </w:r>
    </w:p>
    <w:p>
      <w:pPr>
        <w:spacing w:before="40" w:after="80"/>
      </w:pPr>
      <w:r>
        <w:rPr>
          <w:rFonts w:ascii="Microsoft YaHei" w:hAnsi="Microsoft YaHei" w:eastAsia="Microsoft YaHei"/>
          <w:b w:val="0"/>
          <w:i w:val="0"/>
          <w:color w:val="222222"/>
          <w:sz w:val="21"/>
        </w:rPr>
        <w:t>健康服务连锁客户经营的本质，是把"靠人"的关系经营升级为"靠组织"的能力经营，且建立在合规数据底座之上。承载这一主张的，是硕昂咨询的专有框架 —— KYC 十步（健康版）（KYC-10 Steps, Health Edition）。</w:t>
      </w:r>
    </w:p>
    <w:p>
      <w:pPr>
        <w:spacing w:before="40" w:after="80"/>
      </w:pPr>
      <w:r>
        <w:rPr>
          <w:rFonts w:ascii="Microsoft YaHei" w:hAnsi="Microsoft YaHei" w:eastAsia="Microsoft YaHei"/>
          <w:b/>
          <w:color w:val="0A2540"/>
          <w:sz w:val="21"/>
        </w:rPr>
        <w:t>一句话定义：</w:t>
      </w:r>
      <w:r>
        <w:rPr>
          <w:rFonts w:ascii="Microsoft YaHei" w:hAnsi="Microsoft YaHei" w:eastAsia="Microsoft YaHei"/>
          <w:b w:val="0"/>
          <w:color w:val="222222"/>
          <w:sz w:val="21"/>
        </w:rPr>
        <w:t>把 A3 美业版的"KYC 十步"方法论迁移到健康服务连锁场景——从破冰到转介拆成十个可训练、可复制、可考核的客户经营步骤，让健康服务的客户关系沉淀在组织里而非个人微信里。</w:t>
      </w:r>
    </w:p>
    <w:p>
      <w:pPr>
        <w:spacing w:before="80" w:after="40"/>
      </w:pPr>
      <w:r>
        <w:rPr>
          <w:rFonts w:ascii="Microsoft YaHei" w:hAnsi="Microsoft YaHei" w:eastAsia="Microsoft YaHei"/>
          <w:b/>
          <w:i w:val="0"/>
          <w:color w:val="0A2540"/>
          <w:sz w:val="21"/>
        </w:rPr>
        <w:t>与 A3 美业版的边界（务必区分）：</w:t>
      </w:r>
    </w:p>
    <w:p>
      <w:pPr>
        <w:pStyle w:val="ListBullet"/>
        <w:spacing w:after="40"/>
      </w:pPr>
      <w:r>
        <w:rPr>
          <w:rFonts w:ascii="Microsoft YaHei" w:hAnsi="Microsoft YaHei" w:eastAsia="Microsoft YaHei"/>
          <w:color w:val="222222"/>
          <w:sz w:val="21"/>
        </w:rPr>
        <w:t>A3 是「美业客户经营 KYC 白皮书 / KYC 十步」，面向美业（生美、医美、养发等）门店与连锁；B3 是「健康服务连锁客户经营白皮书 / KYC 十步（健康版）」，面向健康服务连锁（体检、健康管理、疗愈、养生、康养等）。</w:t>
      </w:r>
    </w:p>
    <w:p>
      <w:pPr>
        <w:pStyle w:val="ListBullet"/>
        <w:spacing w:after="40"/>
      </w:pPr>
      <w:r>
        <w:rPr>
          <w:rFonts w:ascii="Microsoft YaHei" w:hAnsi="Microsoft YaHei" w:eastAsia="Microsoft YaHei"/>
          <w:color w:val="222222"/>
          <w:sz w:val="21"/>
        </w:rPr>
        <w:t>B3 明确是面向健康服务连锁的"适配版"：步骤骨架复用 KYC 十步，但场景话术、采集字段、合规注意点按健康行业重写——例如健康档案字段、单独同意、个人信息保护影响评估（PIA）等均为健康版独有。</w:t>
      </w:r>
    </w:p>
    <w:p>
      <w:pPr>
        <w:pStyle w:val="ListBullet"/>
        <w:spacing w:after="40"/>
      </w:pPr>
      <w:r>
        <w:rPr>
          <w:rFonts w:ascii="Microsoft YaHei" w:hAnsi="Microsoft YaHei" w:eastAsia="Microsoft YaHei"/>
          <w:color w:val="222222"/>
          <w:sz w:val="21"/>
        </w:rPr>
        <w:t>两版共享同一可训练、可复制、可考核的设计哲学，但 B3 在"画像""需求""方案""转介"等步骤上增加健康数据合规闸门，这是相较美业版最关键的差异。</w:t>
      </w:r>
    </w:p>
    <w:p>
      <w:pPr>
        <w:spacing w:before="160" w:after="60"/>
      </w:pPr>
      <w:r>
        <w:rPr>
          <w:rFonts w:ascii="Microsoft YaHei" w:hAnsi="Microsoft YaHei" w:eastAsia="Microsoft YaHei"/>
          <w:b/>
          <w:i w:val="0"/>
          <w:color w:val="0A2540"/>
          <w:sz w:val="22"/>
        </w:rPr>
        <w:t>KYC 十步（健康版）总览</w:t>
      </w:r>
    </w:p>
    <w:p>
      <w:pPr>
        <w:spacing w:before="40" w:after="80"/>
      </w:pPr>
      <w:r>
        <w:rPr>
          <w:rFonts w:ascii="Microsoft YaHei" w:hAnsi="Microsoft YaHei" w:eastAsia="Microsoft YaHei"/>
          <w:b w:val="0"/>
          <w:i/>
          <w:color w:val="666666"/>
          <w:sz w:val="18"/>
        </w:rPr>
        <w:t>注：本框架采用客户指定的权威命名「KYC 十步（健康版）（KYC-10 Steps, Health Edition）」，将健康客户经营拆解为十个可训练、可复制、可考核的关键步骤，覆盖从破冰到转介的全旅程，便于训练、复制与验收。</w:t>
      </w:r>
    </w:p>
    <w:tbl>
      <w:tblPr>
        <w:tblStyle w:val="TableGrid"/>
        <w:tblW w:type="auto" w:w="0"/>
        <w:jc w:val="center"/>
        <w:tblLook w:firstColumn="1" w:firstRow="1" w:lastColumn="0" w:lastRow="0" w:noHBand="0" w:noVBand="1" w:val="04A0"/>
      </w:tblPr>
      <w:tblGrid>
        <w:gridCol w:w="2880"/>
        <w:gridCol w:w="2880"/>
        <w:gridCol w:w="2880"/>
      </w:tblGrid>
      <w:tr>
        <w:tc>
          <w:tcPr>
            <w:tcW w:type="dxa" w:w="1814"/>
            <w:shd w:val="clear" w:color="auto" w:fill="0A2540"/>
          </w:tcPr>
          <w:p>
            <w:pPr>
              <w:spacing w:after="20"/>
            </w:pPr>
            <w:r>
              <w:rPr>
                <w:rFonts w:ascii="Microsoft YaHei" w:hAnsi="Microsoft YaHei" w:eastAsia="Microsoft YaHei"/>
                <w:b/>
                <w:color w:val="FFFFFF"/>
                <w:sz w:val="20"/>
              </w:rPr>
              <w:t>步骤（第 1–10 步）</w:t>
            </w:r>
          </w:p>
        </w:tc>
        <w:tc>
          <w:tcPr>
            <w:tcW w:type="dxa" w:w="4819"/>
            <w:shd w:val="clear" w:color="auto" w:fill="0A2540"/>
          </w:tcPr>
          <w:p>
            <w:pPr>
              <w:spacing w:after="20"/>
            </w:pPr>
            <w:r>
              <w:rPr>
                <w:rFonts w:ascii="Microsoft YaHei" w:hAnsi="Microsoft YaHei" w:eastAsia="Microsoft YaHei"/>
                <w:b/>
                <w:color w:val="FFFFFF"/>
                <w:sz w:val="20"/>
              </w:rPr>
              <w:t>关键动作（健康场景化改写）</w:t>
            </w:r>
          </w:p>
        </w:tc>
        <w:tc>
          <w:tcPr>
            <w:tcW w:type="dxa" w:w="3005"/>
            <w:shd w:val="clear" w:color="auto" w:fill="0A2540"/>
          </w:tcPr>
          <w:p>
            <w:pPr>
              <w:spacing w:after="20"/>
            </w:pPr>
            <w:r>
              <w:rPr>
                <w:rFonts w:ascii="Microsoft YaHei" w:hAnsi="Microsoft YaHei" w:eastAsia="Microsoft YaHei"/>
                <w:b/>
                <w:color w:val="FFFFFF"/>
                <w:sz w:val="20"/>
              </w:rPr>
              <w:t>交付物 / 目的</w:t>
            </w:r>
          </w:p>
        </w:tc>
      </w:tr>
      <w:tr>
        <w:tc>
          <w:tcPr>
            <w:tcW w:type="dxa" w:w="1814"/>
          </w:tcPr>
          <w:p>
            <w:pPr>
              <w:spacing w:after="20"/>
            </w:pPr>
            <w:r>
              <w:rPr>
                <w:rFonts w:ascii="Microsoft YaHei" w:hAnsi="Microsoft YaHei" w:eastAsia="Microsoft YaHei"/>
                <w:color w:val="222222"/>
                <w:sz w:val="19"/>
              </w:rPr>
              <w:t>1 破冰</w:t>
            </w:r>
          </w:p>
        </w:tc>
        <w:tc>
          <w:tcPr>
            <w:tcW w:type="dxa" w:w="4819"/>
          </w:tcPr>
          <w:p>
            <w:pPr>
              <w:spacing w:after="20"/>
            </w:pPr>
            <w:r>
              <w:rPr>
                <w:rFonts w:ascii="Microsoft YaHei" w:hAnsi="Microsoft YaHei" w:eastAsia="Microsoft YaHei"/>
                <w:color w:val="222222"/>
                <w:sz w:val="19"/>
              </w:rPr>
              <w:t>以正常聊天动作建立首次连接，不查户口、不压迫；以专业亲和让客户愿意开口，明确告知信息用途以奠定合规基调。</w:t>
            </w:r>
          </w:p>
        </w:tc>
        <w:tc>
          <w:tcPr>
            <w:tcW w:type="dxa" w:w="3005"/>
          </w:tcPr>
          <w:p>
            <w:pPr>
              <w:spacing w:after="20"/>
            </w:pPr>
            <w:r>
              <w:rPr>
                <w:rFonts w:ascii="Microsoft YaHei" w:hAnsi="Microsoft YaHei" w:eastAsia="Microsoft YaHei"/>
                <w:color w:val="222222"/>
                <w:sz w:val="19"/>
              </w:rPr>
              <w:t>首次有效接触记录；客户愿意继续对话。</w:t>
            </w:r>
          </w:p>
        </w:tc>
      </w:tr>
      <w:tr>
        <w:tc>
          <w:tcPr>
            <w:tcW w:type="dxa" w:w="1814"/>
          </w:tcPr>
          <w:p>
            <w:pPr>
              <w:spacing w:after="20"/>
            </w:pPr>
            <w:r>
              <w:rPr>
                <w:rFonts w:ascii="Microsoft YaHei" w:hAnsi="Microsoft YaHei" w:eastAsia="Microsoft YaHei"/>
                <w:color w:val="222222"/>
                <w:sz w:val="19"/>
              </w:rPr>
              <w:t>2 建信</w:t>
            </w:r>
          </w:p>
        </w:tc>
        <w:tc>
          <w:tcPr>
            <w:tcW w:type="dxa" w:w="4819"/>
          </w:tcPr>
          <w:p>
            <w:pPr>
              <w:spacing w:after="20"/>
            </w:pPr>
            <w:r>
              <w:rPr>
                <w:rFonts w:ascii="Microsoft YaHei" w:hAnsi="Microsoft YaHei" w:eastAsia="Microsoft YaHei"/>
                <w:color w:val="222222"/>
                <w:sz w:val="19"/>
              </w:rPr>
              <w:t>以健康专业度、资质透明与沟通一致性逐步建立信任（可结合 DISC 适配沟通）；明确边界，不越界承诺疗效。</w:t>
            </w:r>
          </w:p>
        </w:tc>
        <w:tc>
          <w:tcPr>
            <w:tcW w:type="dxa" w:w="3005"/>
          </w:tcPr>
          <w:p>
            <w:pPr>
              <w:spacing w:after="20"/>
            </w:pPr>
            <w:r>
              <w:rPr>
                <w:rFonts w:ascii="Microsoft YaHei" w:hAnsi="Microsoft YaHei" w:eastAsia="Microsoft YaHei"/>
                <w:color w:val="222222"/>
                <w:sz w:val="19"/>
              </w:rPr>
              <w:t>客户信任度提升，愿意透露真实健康信息与偏好。</w:t>
            </w:r>
          </w:p>
        </w:tc>
      </w:tr>
      <w:tr>
        <w:tc>
          <w:tcPr>
            <w:tcW w:type="dxa" w:w="1814"/>
          </w:tcPr>
          <w:p>
            <w:pPr>
              <w:spacing w:after="20"/>
            </w:pPr>
            <w:r>
              <w:rPr>
                <w:rFonts w:ascii="Microsoft YaHei" w:hAnsi="Microsoft YaHei" w:eastAsia="Microsoft YaHei"/>
                <w:color w:val="222222"/>
                <w:sz w:val="19"/>
              </w:rPr>
              <w:t>3 画像</w:t>
            </w:r>
          </w:p>
        </w:tc>
        <w:tc>
          <w:tcPr>
            <w:tcW w:type="dxa" w:w="4819"/>
          </w:tcPr>
          <w:p>
            <w:pPr>
              <w:spacing w:after="20"/>
            </w:pPr>
            <w:r>
              <w:rPr>
                <w:rFonts w:ascii="Microsoft YaHei" w:hAnsi="Microsoft YaHei" w:eastAsia="Microsoft YaHei"/>
                <w:color w:val="222222"/>
                <w:sz w:val="19"/>
              </w:rPr>
              <w:t>标准化采集健康档案字段（基础信息、体检/健康史、生活方式、风险标签），在单独同意前提下入表，沉淀到组织而非个人微信。</w:t>
            </w:r>
          </w:p>
        </w:tc>
        <w:tc>
          <w:tcPr>
            <w:tcW w:type="dxa" w:w="3005"/>
          </w:tcPr>
          <w:p>
            <w:pPr>
              <w:spacing w:after="20"/>
            </w:pPr>
            <w:r>
              <w:rPr>
                <w:rFonts w:ascii="Microsoft YaHei" w:hAnsi="Microsoft YaHei" w:eastAsia="Microsoft YaHei"/>
                <w:color w:val="222222"/>
                <w:sz w:val="19"/>
              </w:rPr>
              <w:t>健康客户画像卡 / 信息入表，组织可继承。</w:t>
            </w:r>
          </w:p>
        </w:tc>
      </w:tr>
      <w:tr>
        <w:tc>
          <w:tcPr>
            <w:tcW w:type="dxa" w:w="1814"/>
          </w:tcPr>
          <w:p>
            <w:pPr>
              <w:spacing w:after="20"/>
            </w:pPr>
            <w:r>
              <w:rPr>
                <w:rFonts w:ascii="Microsoft YaHei" w:hAnsi="Microsoft YaHei" w:eastAsia="Microsoft YaHei"/>
                <w:color w:val="222222"/>
                <w:sz w:val="19"/>
              </w:rPr>
              <w:t>4 需求</w:t>
            </w:r>
          </w:p>
        </w:tc>
        <w:tc>
          <w:tcPr>
            <w:tcW w:type="dxa" w:w="4819"/>
          </w:tcPr>
          <w:p>
            <w:pPr>
              <w:spacing w:after="20"/>
            </w:pPr>
            <w:r>
              <w:rPr>
                <w:rFonts w:ascii="Microsoft YaHei" w:hAnsi="Microsoft YaHei" w:eastAsia="Microsoft YaHei"/>
                <w:color w:val="222222"/>
                <w:sz w:val="19"/>
              </w:rPr>
              <w:t>以提问技巧 + DISC 洞察真实健康需求与顾虑（如睡眠、体重、慢病、情绪），而非表面诉求。</w:t>
            </w:r>
          </w:p>
        </w:tc>
        <w:tc>
          <w:tcPr>
            <w:tcW w:type="dxa" w:w="3005"/>
          </w:tcPr>
          <w:p>
            <w:pPr>
              <w:spacing w:after="20"/>
            </w:pPr>
            <w:r>
              <w:rPr>
                <w:rFonts w:ascii="Microsoft YaHei" w:hAnsi="Microsoft YaHei" w:eastAsia="Microsoft YaHei"/>
                <w:color w:val="222222"/>
                <w:sz w:val="19"/>
              </w:rPr>
              <w:t>需求清单 / 痛点记录，作为方案依据。</w:t>
            </w:r>
          </w:p>
        </w:tc>
      </w:tr>
      <w:tr>
        <w:tc>
          <w:tcPr>
            <w:tcW w:type="dxa" w:w="1814"/>
          </w:tcPr>
          <w:p>
            <w:pPr>
              <w:spacing w:after="20"/>
            </w:pPr>
            <w:r>
              <w:rPr>
                <w:rFonts w:ascii="Microsoft YaHei" w:hAnsi="Microsoft YaHei" w:eastAsia="Microsoft YaHei"/>
                <w:color w:val="222222"/>
                <w:sz w:val="19"/>
              </w:rPr>
              <w:t>5 方案</w:t>
            </w:r>
          </w:p>
        </w:tc>
        <w:tc>
          <w:tcPr>
            <w:tcW w:type="dxa" w:w="4819"/>
          </w:tcPr>
          <w:p>
            <w:pPr>
              <w:spacing w:after="20"/>
            </w:pPr>
            <w:r>
              <w:rPr>
                <w:rFonts w:ascii="Microsoft YaHei" w:hAnsi="Microsoft YaHei" w:eastAsia="Microsoft YaHei"/>
                <w:color w:val="222222"/>
                <w:sz w:val="19"/>
              </w:rPr>
              <w:t>先问清需求再给个性化健康管理方案，避免"只会上项目"；方案须可解释、可核验。</w:t>
            </w:r>
          </w:p>
        </w:tc>
        <w:tc>
          <w:tcPr>
            <w:tcW w:type="dxa" w:w="3005"/>
          </w:tcPr>
          <w:p>
            <w:pPr>
              <w:spacing w:after="20"/>
            </w:pPr>
            <w:r>
              <w:rPr>
                <w:rFonts w:ascii="Microsoft YaHei" w:hAnsi="Microsoft YaHei" w:eastAsia="Microsoft YaHei"/>
                <w:color w:val="222222"/>
                <w:sz w:val="19"/>
              </w:rPr>
              <w:t>个性化健康管理方案建议，与客户需求对齐。</w:t>
            </w:r>
          </w:p>
        </w:tc>
      </w:tr>
      <w:tr>
        <w:tc>
          <w:tcPr>
            <w:tcW w:type="dxa" w:w="1814"/>
          </w:tcPr>
          <w:p>
            <w:pPr>
              <w:spacing w:after="20"/>
            </w:pPr>
            <w:r>
              <w:rPr>
                <w:rFonts w:ascii="Microsoft YaHei" w:hAnsi="Microsoft YaHei" w:eastAsia="Microsoft YaHei"/>
                <w:color w:val="222222"/>
                <w:sz w:val="19"/>
              </w:rPr>
              <w:t>6 成交</w:t>
            </w:r>
          </w:p>
        </w:tc>
        <w:tc>
          <w:tcPr>
            <w:tcW w:type="dxa" w:w="4819"/>
          </w:tcPr>
          <w:p>
            <w:pPr>
              <w:spacing w:after="20"/>
            </w:pPr>
            <w:r>
              <w:rPr>
                <w:rFonts w:ascii="Microsoft YaHei" w:hAnsi="Microsoft YaHei" w:eastAsia="Microsoft YaHei"/>
                <w:color w:val="222222"/>
                <w:sz w:val="19"/>
              </w:rPr>
              <w:t>基于需求与方案促成服务约定，明确下一步、周期与复查节点。</w:t>
            </w:r>
          </w:p>
        </w:tc>
        <w:tc>
          <w:tcPr>
            <w:tcW w:type="dxa" w:w="3005"/>
          </w:tcPr>
          <w:p>
            <w:pPr>
              <w:spacing w:after="20"/>
            </w:pPr>
            <w:r>
              <w:rPr>
                <w:rFonts w:ascii="Microsoft YaHei" w:hAnsi="Microsoft YaHei" w:eastAsia="Microsoft YaHei"/>
                <w:color w:val="222222"/>
                <w:sz w:val="19"/>
              </w:rPr>
              <w:t>成交记录 / 服务约定，关系进入交付期。</w:t>
            </w:r>
          </w:p>
        </w:tc>
      </w:tr>
      <w:tr>
        <w:tc>
          <w:tcPr>
            <w:tcW w:type="dxa" w:w="1814"/>
          </w:tcPr>
          <w:p>
            <w:pPr>
              <w:spacing w:after="20"/>
            </w:pPr>
            <w:r>
              <w:rPr>
                <w:rFonts w:ascii="Microsoft YaHei" w:hAnsi="Microsoft YaHei" w:eastAsia="Microsoft YaHei"/>
                <w:color w:val="222222"/>
                <w:sz w:val="19"/>
              </w:rPr>
              <w:t>7 交付</w:t>
            </w:r>
          </w:p>
        </w:tc>
        <w:tc>
          <w:tcPr>
            <w:tcW w:type="dxa" w:w="4819"/>
          </w:tcPr>
          <w:p>
            <w:pPr>
              <w:spacing w:after="20"/>
            </w:pPr>
            <w:r>
              <w:rPr>
                <w:rFonts w:ascii="Microsoft YaHei" w:hAnsi="Microsoft YaHei" w:eastAsia="Microsoft YaHei"/>
                <w:color w:val="222222"/>
                <w:sz w:val="19"/>
              </w:rPr>
              <w:t>服务实施与随访中持续 KYC，把采集与关怀嵌入交付流程而非应付检查；记录随访与反馈。</w:t>
            </w:r>
          </w:p>
        </w:tc>
        <w:tc>
          <w:tcPr>
            <w:tcW w:type="dxa" w:w="3005"/>
          </w:tcPr>
          <w:p>
            <w:pPr>
              <w:spacing w:after="20"/>
            </w:pPr>
            <w:r>
              <w:rPr>
                <w:rFonts w:ascii="Microsoft YaHei" w:hAnsi="Microsoft YaHei" w:eastAsia="Microsoft YaHei"/>
                <w:color w:val="222222"/>
                <w:sz w:val="19"/>
              </w:rPr>
              <w:t>服务记录 / 满意度反馈，巩固关系、积累合规数据。</w:t>
            </w:r>
          </w:p>
        </w:tc>
      </w:tr>
      <w:tr>
        <w:tc>
          <w:tcPr>
            <w:tcW w:type="dxa" w:w="1814"/>
          </w:tcPr>
          <w:p>
            <w:pPr>
              <w:spacing w:after="20"/>
            </w:pPr>
            <w:r>
              <w:rPr>
                <w:rFonts w:ascii="Microsoft YaHei" w:hAnsi="Microsoft YaHei" w:eastAsia="Microsoft YaHei"/>
                <w:color w:val="222222"/>
                <w:sz w:val="19"/>
              </w:rPr>
              <w:t>8 关怀</w:t>
            </w:r>
          </w:p>
        </w:tc>
        <w:tc>
          <w:tcPr>
            <w:tcW w:type="dxa" w:w="4819"/>
          </w:tcPr>
          <w:p>
            <w:pPr>
              <w:spacing w:after="20"/>
            </w:pPr>
            <w:r>
              <w:rPr>
                <w:rFonts w:ascii="Microsoft YaHei" w:hAnsi="Microsoft YaHei" w:eastAsia="Microsoft YaHei"/>
                <w:color w:val="222222"/>
                <w:sz w:val="19"/>
              </w:rPr>
              <w:t>周期性健康关怀触达（节气、复查提醒、节点问候），维护长期关系且不打扰。</w:t>
            </w:r>
          </w:p>
        </w:tc>
        <w:tc>
          <w:tcPr>
            <w:tcW w:type="dxa" w:w="3005"/>
          </w:tcPr>
          <w:p>
            <w:pPr>
              <w:spacing w:after="20"/>
            </w:pPr>
            <w:r>
              <w:rPr>
                <w:rFonts w:ascii="Microsoft YaHei" w:hAnsi="Microsoft YaHei" w:eastAsia="Microsoft YaHei"/>
                <w:color w:val="222222"/>
                <w:sz w:val="19"/>
              </w:rPr>
              <w:t>关怀触达记录，关系可激活、不降温。</w:t>
            </w:r>
          </w:p>
        </w:tc>
      </w:tr>
      <w:tr>
        <w:tc>
          <w:tcPr>
            <w:tcW w:type="dxa" w:w="1814"/>
          </w:tcPr>
          <w:p>
            <w:pPr>
              <w:spacing w:after="20"/>
            </w:pPr>
            <w:r>
              <w:rPr>
                <w:rFonts w:ascii="Microsoft YaHei" w:hAnsi="Microsoft YaHei" w:eastAsia="Microsoft YaHei"/>
                <w:color w:val="222222"/>
                <w:sz w:val="19"/>
              </w:rPr>
              <w:t>9 复购</w:t>
            </w:r>
          </w:p>
        </w:tc>
        <w:tc>
          <w:tcPr>
            <w:tcW w:type="dxa" w:w="4819"/>
          </w:tcPr>
          <w:p>
            <w:pPr>
              <w:spacing w:after="20"/>
            </w:pPr>
            <w:r>
              <w:rPr>
                <w:rFonts w:ascii="Microsoft YaHei" w:hAnsi="Microsoft YaHei" w:eastAsia="Microsoft YaHei"/>
                <w:color w:val="222222"/>
                <w:sz w:val="19"/>
              </w:rPr>
              <w:t>设计可执行的续约 / 复购节点与触达节奏（如年度体检、慢病管理续期），从"靠运气"到可经营。</w:t>
            </w:r>
          </w:p>
        </w:tc>
        <w:tc>
          <w:tcPr>
            <w:tcW w:type="dxa" w:w="3005"/>
          </w:tcPr>
          <w:p>
            <w:pPr>
              <w:spacing w:after="20"/>
            </w:pPr>
            <w:r>
              <w:rPr>
                <w:rFonts w:ascii="Microsoft YaHei" w:hAnsi="Microsoft YaHei" w:eastAsia="Microsoft YaHei"/>
                <w:color w:val="222222"/>
                <w:sz w:val="19"/>
              </w:rPr>
              <w:t>复购动作执行记录，复购率可提升、可考核。</w:t>
            </w:r>
          </w:p>
        </w:tc>
      </w:tr>
      <w:tr>
        <w:tc>
          <w:tcPr>
            <w:tcW w:type="dxa" w:w="1814"/>
          </w:tcPr>
          <w:p>
            <w:pPr>
              <w:spacing w:after="20"/>
            </w:pPr>
            <w:r>
              <w:rPr>
                <w:rFonts w:ascii="Microsoft YaHei" w:hAnsi="Microsoft YaHei" w:eastAsia="Microsoft YaHei"/>
                <w:color w:val="222222"/>
                <w:sz w:val="19"/>
              </w:rPr>
              <w:t>10 转介</w:t>
            </w:r>
          </w:p>
        </w:tc>
        <w:tc>
          <w:tcPr>
            <w:tcW w:type="dxa" w:w="4819"/>
          </w:tcPr>
          <w:p>
            <w:pPr>
              <w:spacing w:after="20"/>
            </w:pPr>
            <w:r>
              <w:rPr>
                <w:rFonts w:ascii="Microsoft YaHei" w:hAnsi="Microsoft YaHei" w:eastAsia="Microsoft YaHei"/>
                <w:color w:val="222222"/>
                <w:sz w:val="19"/>
              </w:rPr>
              <w:t>设计自然、合规的转介绍请求与路径（须基于单独同意与去标识化），让口碑客户带来新客。</w:t>
            </w:r>
          </w:p>
        </w:tc>
        <w:tc>
          <w:tcPr>
            <w:tcW w:type="dxa" w:w="3005"/>
          </w:tcPr>
          <w:p>
            <w:pPr>
              <w:spacing w:after="20"/>
            </w:pPr>
            <w:r>
              <w:rPr>
                <w:rFonts w:ascii="Microsoft YaHei" w:hAnsi="Microsoft YaHei" w:eastAsia="Microsoft YaHei"/>
                <w:color w:val="222222"/>
                <w:sz w:val="19"/>
              </w:rPr>
              <w:t>转介绍线索，新客来源可追踪、可复制。</w:t>
            </w:r>
          </w:p>
        </w:tc>
      </w:tr>
    </w:tbl>
    <w:p>
      <w:pPr>
        <w:spacing w:before="20" w:after="120"/>
      </w:pPr>
      <w:r>
        <w:rPr>
          <w:rFonts w:ascii="Microsoft YaHei" w:hAnsi="Microsoft YaHei" w:eastAsia="Microsoft YaHei"/>
          <w:b w:val="0"/>
          <w:i/>
          <w:color w:val="666666"/>
          <w:sz w:val="17"/>
        </w:rPr>
        <w:t>说明：步骤名可与美业版一致，但动作话术、字段与合规注意点按健康服务重写；第 3、10 步为健康版合规重点。</w:t>
      </w:r>
    </w:p>
    <w:p>
      <w:pPr>
        <w:spacing w:before="120" w:after="160"/>
      </w:pPr>
      <w:r>
        <w:rPr>
          <w:rFonts w:ascii="Microsoft YaHei" w:hAnsi="Microsoft YaHei" w:eastAsia="Microsoft YaHei"/>
          <w:b w:val="0"/>
          <w:i w:val="0"/>
          <w:color w:val="222222"/>
          <w:sz w:val="21"/>
        </w:rPr>
        <w:t>把上述基准代入客户经营视角：国际基准显示健康俱乐部年留存约 66%、健康订阅月流失 5%–8%（见第五章），而健康服务的获客高度依赖信任与口碑——这意味着"留得住、转得出"每提升一点都直接放大单客价值。同时，医疗健康信息属敏感个人信息（《个人信息保护法》第 28 条），客户经营必须建立在合规与可核实数据之上，与 KYC"可验证数据"逻辑同构。</w:t>
      </w:r>
    </w:p>
    <w:p>
      <w:pPr>
        <w:pStyle w:val="Heading1"/>
        <w:spacing w:before="240" w:after="120"/>
        <w:pBdr>
          <w:bottom w:val="single" w:sz="6" w:space="2" w:color="B8820B"/>
        </w:pBdr>
      </w:pPr>
      <w:r>
        <w:rPr>
          <w:rFonts w:ascii="Microsoft YaHei" w:hAnsi="Microsoft YaHei" w:eastAsia="Microsoft YaHei"/>
          <w:b/>
          <w:color w:val="0A2540"/>
          <w:sz w:val="30"/>
        </w:rPr>
        <w:t>四、证据章节</w:t>
      </w:r>
    </w:p>
    <w:p>
      <w:pPr>
        <w:spacing w:before="40" w:after="120"/>
      </w:pPr>
      <w:r>
        <w:rPr>
          <w:rFonts w:ascii="Microsoft YaHei" w:hAnsi="Microsoft YaHei" w:eastAsia="Microsoft YaHei"/>
          <w:b w:val="0"/>
          <w:i/>
          <w:color w:val="666666"/>
          <w:sz w:val="19"/>
        </w:rPr>
        <w:t>以下四个原子章节均采用「洞察 INSIGHT → 证据 EVIDENCE → 所以呢 SO-WHAT → 行动 ACTION」四拍结构，标题为完整论断句。</w:t>
      </w:r>
    </w:p>
    <w:p>
      <w:pPr>
        <w:pStyle w:val="Heading2"/>
        <w:spacing w:before="160" w:after="60"/>
      </w:pPr>
      <w:r>
        <w:rPr>
          <w:rFonts w:ascii="Microsoft YaHei" w:hAnsi="Microsoft YaHei" w:eastAsia="Microsoft YaHei"/>
          <w:b/>
          <w:color w:val="B8820B"/>
          <w:sz w:val="25"/>
        </w:rPr>
        <w:t>4.1　健康服务的客户关系沉淀在顾问个人微信里，叠加敏感健康数据，既是资产泄漏风险也是合规风险</w:t>
      </w:r>
    </w:p>
    <w:p>
      <w:pPr>
        <w:spacing w:before="40" w:after="80"/>
      </w:pPr>
      <w:r>
        <w:rPr>
          <w:rFonts w:ascii="Microsoft YaHei" w:hAnsi="Microsoft YaHei" w:eastAsia="Microsoft YaHei"/>
          <w:b/>
          <w:color w:val="B8820B"/>
          <w:sz w:val="21"/>
        </w:rPr>
        <w:t xml:space="preserve">洞察 INSIGHT　</w:t>
      </w:r>
      <w:r>
        <w:rPr>
          <w:rFonts w:ascii="Microsoft YaHei" w:hAnsi="Microsoft YaHei" w:eastAsia="Microsoft YaHei"/>
          <w:b w:val="0"/>
          <w:color w:val="222222"/>
          <w:sz w:val="21"/>
        </w:rPr>
        <w:t>健康服务复购靠关系与信任，但关系与数据在个人、不在组织。医疗健康信息属法定敏感个人信息，一旦只存在于顾问私域，就随人走、不可控、不可继承，且触碰合规红线。</w:t>
      </w:r>
    </w:p>
    <w:p>
      <w:pPr>
        <w:spacing w:before="40" w:after="80"/>
      </w:pPr>
      <w:r>
        <w:rPr>
          <w:rFonts w:ascii="Microsoft YaHei" w:hAnsi="Microsoft YaHei" w:eastAsia="Microsoft YaHei"/>
          <w:b/>
          <w:color w:val="B8820B"/>
          <w:sz w:val="21"/>
        </w:rPr>
        <w:t xml:space="preserve">证据 EVIDENCE　</w:t>
      </w:r>
      <w:r>
        <w:rPr>
          <w:rFonts w:ascii="Microsoft YaHei" w:hAnsi="Microsoft YaHei" w:eastAsia="Microsoft YaHei"/>
          <w:b w:val="0"/>
          <w:color w:val="222222"/>
          <w:sz w:val="21"/>
        </w:rPr>
        <w:t>《中华人民共和国个人信息保护法》第 28 条将"医疗健康"信息列为敏感个人信息；第 29 条要求处理敏感个人信息须取得个人的"单独同意"；第 55 条要求处理前做个人信息保护影响评估（PIA）并保存记录至少三年。关系与档案散落在个人微信，既无法确权到组织，也难以满足单独同意与可追溯要求。</w:t>
      </w:r>
    </w:p>
    <w:p>
      <w:pPr>
        <w:spacing w:before="40" w:after="80"/>
      </w:pPr>
      <w:r>
        <w:rPr>
          <w:rFonts w:ascii="Microsoft YaHei" w:hAnsi="Microsoft YaHei" w:eastAsia="Microsoft YaHei"/>
          <w:b/>
          <w:color w:val="B8820B"/>
          <w:sz w:val="21"/>
        </w:rPr>
        <w:t xml:space="preserve">所以呢 SO-WHAT　</w:t>
      </w:r>
      <w:r>
        <w:rPr>
          <w:rFonts w:ascii="Microsoft YaHei" w:hAnsi="Microsoft YaHei" w:eastAsia="Microsoft YaHei"/>
          <w:b w:val="0"/>
          <w:color w:val="222222"/>
          <w:sz w:val="21"/>
        </w:rPr>
        <w:t>单店可做成人情生意，连锁却必须把"客户关系 + 健康数据"变成"组织资产 + 合规资产"。否则开得越多、流失越狠、合规敞口越大，规模反而放大了风险。</w:t>
      </w:r>
    </w:p>
    <w:p>
      <w:pPr>
        <w:spacing w:before="40" w:after="120"/>
      </w:pPr>
      <w:r>
        <w:rPr>
          <w:rFonts w:ascii="Microsoft YaHei" w:hAnsi="Microsoft YaHei" w:eastAsia="Microsoft YaHei"/>
          <w:b/>
          <w:color w:val="B8820B"/>
          <w:sz w:val="21"/>
        </w:rPr>
        <w:t xml:space="preserve">行动 ACTION　</w:t>
      </w:r>
      <w:r>
        <w:rPr>
          <w:rFonts w:ascii="Microsoft YaHei" w:hAnsi="Microsoft YaHei" w:eastAsia="Microsoft YaHei"/>
          <w:b w:val="0"/>
          <w:color w:val="222222"/>
          <w:sz w:val="21"/>
        </w:rPr>
        <w:t>把客户关键信息（联系人、健康画像、需求、阶段）从个人微信迁移到统一的、符合 PIPL 的客户信息表与分层档案，确权到组织，并设置单独同意与 PIA 闸门。</w:t>
      </w:r>
    </w:p>
    <w:p>
      <w:pPr>
        <w:pStyle w:val="Heading2"/>
        <w:spacing w:before="160" w:after="60"/>
      </w:pPr>
      <w:r>
        <w:rPr>
          <w:rFonts w:ascii="Microsoft YaHei" w:hAnsi="Microsoft YaHei" w:eastAsia="Microsoft YaHei"/>
          <w:b/>
          <w:color w:val="B8820B"/>
          <w:sz w:val="25"/>
        </w:rPr>
        <w:t>4.2　健康服务连锁的盈利底座是留存：国际基准显示年留存约 66%、月流失 5%–8%，留得住才赚得到</w:t>
      </w:r>
    </w:p>
    <w:p>
      <w:pPr>
        <w:spacing w:before="40" w:after="80"/>
      </w:pPr>
      <w:r>
        <w:rPr>
          <w:rFonts w:ascii="Microsoft YaHei" w:hAnsi="Microsoft YaHei" w:eastAsia="Microsoft YaHei"/>
          <w:b/>
          <w:color w:val="B8820B"/>
          <w:sz w:val="21"/>
        </w:rPr>
        <w:t xml:space="preserve">洞察 INSIGHT　</w:t>
      </w:r>
      <w:r>
        <w:rPr>
          <w:rFonts w:ascii="Microsoft YaHei" w:hAnsi="Microsoft YaHei" w:eastAsia="Microsoft YaHei"/>
          <w:b w:val="0"/>
          <w:color w:val="222222"/>
          <w:sz w:val="21"/>
        </w:rPr>
        <w:t>健康服务多为订阅制、周期制与续约制，单客价值来自长期关系而非一次性成交；留存率直接决定单位经济模型。</w:t>
      </w:r>
    </w:p>
    <w:p>
      <w:pPr>
        <w:spacing w:before="40" w:after="80"/>
      </w:pPr>
      <w:r>
        <w:rPr>
          <w:rFonts w:ascii="Microsoft YaHei" w:hAnsi="Microsoft YaHei" w:eastAsia="Microsoft YaHei"/>
          <w:b/>
          <w:color w:val="B8820B"/>
          <w:sz w:val="21"/>
        </w:rPr>
        <w:t xml:space="preserve">证据 EVIDENCE　</w:t>
      </w:r>
      <w:r>
        <w:rPr>
          <w:rFonts w:ascii="Microsoft YaHei" w:hAnsi="Microsoft YaHei" w:eastAsia="Microsoft YaHei"/>
          <w:b w:val="0"/>
          <w:color w:val="222222"/>
          <w:sz w:val="21"/>
        </w:rPr>
        <w:t>据 Health &amp; Fitness Association 2025 基准报告（基于 2024 数据，覆盖 175 家企业、17,000+ 设施），健身/健康俱乐部会员年留存约 66.4%，约 3.4% 月流失、平均在约 30 个月；麦肯锡（2024）指出健康订阅类（wellness subscription）月流失率约 5%–8%。消费者健康标杆 Hims &amp; Hers 2024 年订阅收入占比超 90%、3 个月以上留存约 82%，营收同比 +69% 至约 14.8 亿美元（公开财报/Nasdaq 口径，美国）。</w:t>
      </w:r>
    </w:p>
    <w:p>
      <w:pPr>
        <w:spacing w:before="40" w:after="80"/>
      </w:pPr>
      <w:r>
        <w:rPr>
          <w:rFonts w:ascii="Microsoft YaHei" w:hAnsi="Microsoft YaHei" w:eastAsia="Microsoft YaHei"/>
          <w:b/>
          <w:color w:val="B8820B"/>
          <w:sz w:val="21"/>
        </w:rPr>
        <w:t xml:space="preserve">所以呢 SO-WHAT　</w:t>
      </w:r>
      <w:r>
        <w:rPr>
          <w:rFonts w:ascii="Microsoft YaHei" w:hAnsi="Microsoft YaHei" w:eastAsia="Microsoft YaHei"/>
          <w:b w:val="0"/>
          <w:color w:val="222222"/>
          <w:sz w:val="21"/>
        </w:rPr>
        <w:t>"拉新贵、留住难"在健康服务业尤为突出。复购与续约每提升一点，都直接抵消获客成本——这正是 KYC 十步把关系"组织化、可经营化"的商业理由。</w:t>
      </w:r>
    </w:p>
    <w:p>
      <w:pPr>
        <w:spacing w:before="40" w:after="120"/>
      </w:pPr>
      <w:r>
        <w:rPr>
          <w:rFonts w:ascii="Microsoft YaHei" w:hAnsi="Microsoft YaHei" w:eastAsia="Microsoft YaHei"/>
          <w:b/>
          <w:color w:val="B8820B"/>
          <w:sz w:val="21"/>
        </w:rPr>
        <w:t xml:space="preserve">行动 ACTION　</w:t>
      </w:r>
      <w:r>
        <w:rPr>
          <w:rFonts w:ascii="Microsoft YaHei" w:hAnsi="Microsoft YaHei" w:eastAsia="Microsoft YaHei"/>
          <w:b w:val="0"/>
          <w:color w:val="222222"/>
          <w:sz w:val="21"/>
        </w:rPr>
        <w:t>以 KYC 十步的"关怀 / 复购"步骤设计可执行的触达节奏与续约节点，把留存从"靠运气"升级为可考核的 SOP。</w:t>
      </w:r>
    </w:p>
    <w:p>
      <w:pPr>
        <w:pStyle w:val="Heading2"/>
        <w:spacing w:before="160" w:after="60"/>
      </w:pPr>
      <w:r>
        <w:rPr>
          <w:rFonts w:ascii="Microsoft YaHei" w:hAnsi="Microsoft YaHei" w:eastAsia="Microsoft YaHei"/>
          <w:b/>
          <w:color w:val="B8820B"/>
          <w:sz w:val="25"/>
        </w:rPr>
        <w:t>4.3　KYC 在健康场景流于形式，根因是敏感数据门槛高且缺乏可训练场景，而非员工不配合</w:t>
      </w:r>
    </w:p>
    <w:p>
      <w:pPr>
        <w:spacing w:before="40" w:after="80"/>
      </w:pPr>
      <w:r>
        <w:rPr>
          <w:rFonts w:ascii="Microsoft YaHei" w:hAnsi="Microsoft YaHei" w:eastAsia="Microsoft YaHei"/>
          <w:b/>
          <w:color w:val="B8820B"/>
          <w:sz w:val="21"/>
        </w:rPr>
        <w:t xml:space="preserve">洞察 INSIGHT　</w:t>
      </w:r>
      <w:r>
        <w:rPr>
          <w:rFonts w:ascii="Microsoft YaHei" w:hAnsi="Microsoft YaHei" w:eastAsia="Microsoft YaHei"/>
          <w:b w:val="0"/>
          <w:color w:val="222222"/>
          <w:sz w:val="21"/>
        </w:rPr>
        <w:t>痛点的根因不是"员工不配合"，而是 KYC 被当成检查项而非经营动作——没有方法、没有健康场景、没有合规训练。</w:t>
      </w:r>
    </w:p>
    <w:p>
      <w:pPr>
        <w:spacing w:before="40" w:after="80"/>
      </w:pPr>
      <w:r>
        <w:rPr>
          <w:rFonts w:ascii="Microsoft YaHei" w:hAnsi="Microsoft YaHei" w:eastAsia="Microsoft YaHei"/>
          <w:b/>
          <w:color w:val="B8820B"/>
          <w:sz w:val="21"/>
        </w:rPr>
        <w:t xml:space="preserve">证据 EVIDENCE　</w:t>
      </w:r>
      <w:r>
        <w:rPr>
          <w:rFonts w:ascii="Microsoft YaHei" w:hAnsi="Microsoft YaHei" w:eastAsia="Microsoft YaHei"/>
          <w:b w:val="0"/>
          <w:color w:val="222222"/>
          <w:sz w:val="21"/>
        </w:rPr>
        <w:t>在健康服务业，健康数据的敏感性（PIPL 第 28–29 条）使随意采集风险高，团队因"怕违规"而回避系统化采集；同时行业普遍缺乏把采集、洞察、经营嵌进正常工作流的可训练方法。这与美业版 KYC 的"流于填表"同源，但健康版多了一道合规闸门。</w:t>
      </w:r>
    </w:p>
    <w:p>
      <w:pPr>
        <w:spacing w:before="40" w:after="80"/>
      </w:pPr>
      <w:r>
        <w:rPr>
          <w:rFonts w:ascii="Microsoft YaHei" w:hAnsi="Microsoft YaHei" w:eastAsia="Microsoft YaHei"/>
          <w:b/>
          <w:color w:val="B8820B"/>
          <w:sz w:val="21"/>
        </w:rPr>
        <w:t xml:space="preserve">所以呢 SO-WHAT　</w:t>
      </w:r>
      <w:r>
        <w:rPr>
          <w:rFonts w:ascii="Microsoft YaHei" w:hAnsi="Microsoft YaHei" w:eastAsia="Microsoft YaHei"/>
          <w:b w:val="0"/>
          <w:color w:val="222222"/>
          <w:sz w:val="21"/>
        </w:rPr>
        <w:t>买一套 CRM 或发一张表，解决不了"不会问、不敢采、填了不用"。真正的杠杆是：给方法 + 给健康场景 + 给合规训练。</w:t>
      </w:r>
    </w:p>
    <w:p>
      <w:pPr>
        <w:spacing w:before="40" w:after="120"/>
      </w:pPr>
      <w:r>
        <w:rPr>
          <w:rFonts w:ascii="Microsoft YaHei" w:hAnsi="Microsoft YaHei" w:eastAsia="Microsoft YaHei"/>
          <w:b/>
          <w:color w:val="B8820B"/>
          <w:sz w:val="21"/>
        </w:rPr>
        <w:t xml:space="preserve">行动 ACTION　</w:t>
      </w:r>
      <w:r>
        <w:rPr>
          <w:rFonts w:ascii="Microsoft YaHei" w:hAnsi="Microsoft YaHei" w:eastAsia="Microsoft YaHei"/>
          <w:b w:val="0"/>
          <w:color w:val="222222"/>
          <w:sz w:val="21"/>
        </w:rPr>
        <w:t>以 KYC 十步的"画像 / 需求 / 方案"三步为切入点，先把动作与合规闸门嵌进健康服务工作流，再谈系统化。</w:t>
      </w:r>
    </w:p>
    <w:p>
      <w:pPr>
        <w:pStyle w:val="Heading2"/>
        <w:spacing w:before="160" w:after="60"/>
      </w:pPr>
      <w:r>
        <w:rPr>
          <w:rFonts w:ascii="Microsoft YaHei" w:hAnsi="Microsoft YaHei" w:eastAsia="Microsoft YaHei"/>
          <w:b/>
          <w:color w:val="B8820B"/>
          <w:sz w:val="25"/>
        </w:rPr>
        <w:t>4.4　转介绍是健康服务最高效的获客，但必须在合规前提下设计，口碑可复制、越界则违规</w:t>
      </w:r>
    </w:p>
    <w:p>
      <w:pPr>
        <w:spacing w:before="40" w:after="80"/>
      </w:pPr>
      <w:r>
        <w:rPr>
          <w:rFonts w:ascii="Microsoft YaHei" w:hAnsi="Microsoft YaHei" w:eastAsia="Microsoft YaHei"/>
          <w:b/>
          <w:color w:val="B8820B"/>
          <w:sz w:val="21"/>
        </w:rPr>
        <w:t xml:space="preserve">洞察 INSIGHT　</w:t>
      </w:r>
      <w:r>
        <w:rPr>
          <w:rFonts w:ascii="Microsoft YaHei" w:hAnsi="Microsoft YaHei" w:eastAsia="Microsoft YaHei"/>
          <w:b w:val="0"/>
          <w:color w:val="222222"/>
          <w:sz w:val="21"/>
        </w:rPr>
        <w:t>当复购与转介绍依赖个别顾问的临场发挥，企业就永远无法预测增长；只有把它步骤化、合规化，才能规模复制。</w:t>
      </w:r>
    </w:p>
    <w:p>
      <w:pPr>
        <w:spacing w:before="40" w:after="80"/>
      </w:pPr>
      <w:r>
        <w:rPr>
          <w:rFonts w:ascii="Microsoft YaHei" w:hAnsi="Microsoft YaHei" w:eastAsia="Microsoft YaHei"/>
          <w:b/>
          <w:color w:val="B8820B"/>
          <w:sz w:val="21"/>
        </w:rPr>
        <w:t xml:space="preserve">证据 EVIDENCE　</w:t>
      </w:r>
      <w:r>
        <w:rPr>
          <w:rFonts w:ascii="Microsoft YaHei" w:hAnsi="Microsoft YaHei" w:eastAsia="Microsoft YaHei"/>
          <w:b w:val="0"/>
          <w:color w:val="222222"/>
          <w:sz w:val="21"/>
        </w:rPr>
        <w:t>医疗服务忠诚度（NPS）基准差异极大：UHS 行为健康 2024 年 NPS 41（行业"great"水平），Alignment Healthcare 2024 年 NPS 61（行业均值约 40），Aurora Healthcare 2024 年 NPS 89（"世界级"）。差距说明口碑与推荐可被经营；同时 PIPL 第 29 条要求转介绍所涉敏感信息共享须取得单独同意，决定转介动作必须内嵌合规规则。</w:t>
      </w:r>
    </w:p>
    <w:p>
      <w:pPr>
        <w:spacing w:before="40" w:after="80"/>
      </w:pPr>
      <w:r>
        <w:rPr>
          <w:rFonts w:ascii="Microsoft YaHei" w:hAnsi="Microsoft YaHei" w:eastAsia="Microsoft YaHei"/>
          <w:b/>
          <w:color w:val="B8820B"/>
          <w:sz w:val="21"/>
        </w:rPr>
        <w:t xml:space="preserve">所以呢 SO-WHAT　</w:t>
      </w:r>
      <w:r>
        <w:rPr>
          <w:rFonts w:ascii="Microsoft YaHei" w:hAnsi="Microsoft YaHei" w:eastAsia="Microsoft YaHei"/>
          <w:b w:val="0"/>
          <w:color w:val="222222"/>
          <w:sz w:val="21"/>
        </w:rPr>
        <w:t>把转介绍交给"运气"，等于把新客来源交给离职风险与违规风险。步骤化 + 合规化之后，新人也能沿既定路径稳定产出。</w:t>
      </w:r>
    </w:p>
    <w:p>
      <w:pPr>
        <w:spacing w:before="40" w:after="160"/>
      </w:pPr>
      <w:r>
        <w:rPr>
          <w:rFonts w:ascii="Microsoft YaHei" w:hAnsi="Microsoft YaHei" w:eastAsia="Microsoft YaHei"/>
          <w:b/>
          <w:color w:val="B8820B"/>
          <w:sz w:val="21"/>
        </w:rPr>
        <w:t xml:space="preserve">行动 ACTION　</w:t>
      </w:r>
      <w:r>
        <w:rPr>
          <w:rFonts w:ascii="Microsoft YaHei" w:hAnsi="Microsoft YaHei" w:eastAsia="Microsoft YaHei"/>
          <w:b w:val="0"/>
          <w:color w:val="222222"/>
          <w:sz w:val="21"/>
        </w:rPr>
        <w:t>用 KYC 十步第 10 步设计自然、合规的转介绍请求与路径（基于单独同意与去标识化），形成可考核的 SOP。</w:t>
      </w:r>
    </w:p>
    <w:p>
      <w:pPr>
        <w:pStyle w:val="Heading1"/>
        <w:spacing w:before="240" w:after="120"/>
        <w:pBdr>
          <w:bottom w:val="single" w:sz="6" w:space="2" w:color="B8820B"/>
        </w:pBdr>
      </w:pPr>
      <w:r>
        <w:rPr>
          <w:rFonts w:ascii="Microsoft YaHei" w:hAnsi="Microsoft YaHei" w:eastAsia="Microsoft YaHei"/>
          <w:b/>
          <w:color w:val="0A2540"/>
          <w:sz w:val="30"/>
        </w:rPr>
        <w:t>五、行业数据与基准参考</w:t>
      </w:r>
    </w:p>
    <w:p>
      <w:pPr>
        <w:spacing w:before="40" w:after="80"/>
      </w:pPr>
      <w:r>
        <w:rPr>
          <w:rFonts w:ascii="Microsoft YaHei" w:hAnsi="Microsoft YaHei" w:eastAsia="Microsoft YaHei"/>
          <w:b w:val="0"/>
          <w:i w:val="0"/>
          <w:color w:val="222222"/>
          <w:sz w:val="19"/>
        </w:rPr>
        <w:t>以下指标均来自公开可核查的第三方研究与行业报告，逐项标注来源与年份；本白皮书不在此之外新增任何未经来源支撑的百分比或金额。请特别注意区域口径差异：标注"中国"者为国内机构口径，"国际"者为欧美/澳洲等市场口径，引用时须注明区域来源，不得混用。</w:t>
      </w:r>
    </w:p>
    <w:tbl>
      <w:tblPr>
        <w:tblStyle w:val="TableGrid"/>
        <w:tblW w:type="auto" w:w="0"/>
        <w:jc w:val="center"/>
        <w:tblLook w:firstColumn="1" w:firstRow="1" w:lastColumn="0" w:lastRow="0" w:noHBand="0" w:noVBand="1" w:val="04A0"/>
      </w:tblPr>
      <w:tblGrid>
        <w:gridCol w:w="2880"/>
        <w:gridCol w:w="2880"/>
        <w:gridCol w:w="2880"/>
      </w:tblGrid>
      <w:tr>
        <w:tc>
          <w:tcPr>
            <w:tcW w:type="dxa" w:w="2608"/>
            <w:shd w:val="clear" w:color="auto" w:fill="0A2540"/>
          </w:tcPr>
          <w:p>
            <w:pPr>
              <w:spacing w:after="20"/>
            </w:pPr>
            <w:r>
              <w:rPr>
                <w:rFonts w:ascii="Microsoft YaHei" w:hAnsi="Microsoft YaHei" w:eastAsia="Microsoft YaHei"/>
                <w:b/>
                <w:color w:val="FFFFFF"/>
                <w:sz w:val="20"/>
              </w:rPr>
              <w:t>指标</w:t>
            </w:r>
          </w:p>
        </w:tc>
        <w:tc>
          <w:tcPr>
            <w:tcW w:type="dxa" w:w="4082"/>
            <w:shd w:val="clear" w:color="auto" w:fill="0A2540"/>
          </w:tcPr>
          <w:p>
            <w:pPr>
              <w:spacing w:after="20"/>
            </w:pPr>
            <w:r>
              <w:rPr>
                <w:rFonts w:ascii="Microsoft YaHei" w:hAnsi="Microsoft YaHei" w:eastAsia="Microsoft YaHei"/>
                <w:b/>
                <w:color w:val="FFFFFF"/>
                <w:sz w:val="20"/>
              </w:rPr>
              <w:t>数据（含区域口径）</w:t>
            </w:r>
          </w:p>
        </w:tc>
        <w:tc>
          <w:tcPr>
            <w:tcW w:type="dxa" w:w="2948"/>
            <w:shd w:val="clear" w:color="auto" w:fill="0A2540"/>
          </w:tcPr>
          <w:p>
            <w:pPr>
              <w:spacing w:after="20"/>
            </w:pPr>
            <w:r>
              <w:rPr>
                <w:rFonts w:ascii="Microsoft YaHei" w:hAnsi="Microsoft YaHei" w:eastAsia="Microsoft YaHei"/>
                <w:b/>
                <w:color w:val="FFFFFF"/>
                <w:sz w:val="20"/>
              </w:rPr>
              <w:t>来源</w:t>
            </w:r>
          </w:p>
        </w:tc>
      </w:tr>
      <w:tr>
        <w:tc>
          <w:tcPr>
            <w:tcW w:type="dxa" w:w="2608"/>
          </w:tcPr>
          <w:p>
            <w:pPr>
              <w:spacing w:after="20"/>
            </w:pPr>
            <w:r>
              <w:rPr>
                <w:rFonts w:ascii="Microsoft YaHei" w:hAnsi="Microsoft YaHei" w:eastAsia="Microsoft YaHei"/>
                <w:color w:val="222222"/>
                <w:sz w:val="19"/>
              </w:rPr>
              <w:t>中国大健康产业整体营收（2025）</w:t>
            </w:r>
          </w:p>
        </w:tc>
        <w:tc>
          <w:tcPr>
            <w:tcW w:type="dxa" w:w="4082"/>
          </w:tcPr>
          <w:p>
            <w:pPr>
              <w:spacing w:after="20"/>
            </w:pPr>
            <w:r>
              <w:rPr>
                <w:rFonts w:ascii="Microsoft YaHei" w:hAnsi="Microsoft YaHei" w:eastAsia="Microsoft YaHei"/>
                <w:color w:val="222222"/>
                <w:sz w:val="19"/>
              </w:rPr>
              <w:t>9.3 万亿元人民币（2014 年 2.5 万亿 → 2025 年 9.3 万亿，持续增长）【中国】</w:t>
            </w:r>
          </w:p>
        </w:tc>
        <w:tc>
          <w:tcPr>
            <w:tcW w:type="dxa" w:w="2948"/>
          </w:tcPr>
          <w:p>
            <w:pPr>
              <w:spacing w:after="20"/>
            </w:pPr>
            <w:r>
              <w:rPr>
                <w:rFonts w:ascii="Microsoft YaHei" w:hAnsi="Microsoft YaHei" w:eastAsia="Microsoft YaHei"/>
                <w:color w:val="222222"/>
                <w:sz w:val="19"/>
              </w:rPr>
              <w:t>艾媒咨询（iiMedia Research）《2025 年中国数字健康管理行业发展状况与用户行为调查数据》</w:t>
            </w:r>
          </w:p>
        </w:tc>
      </w:tr>
      <w:tr>
        <w:tc>
          <w:tcPr>
            <w:tcW w:type="dxa" w:w="2608"/>
          </w:tcPr>
          <w:p>
            <w:pPr>
              <w:spacing w:after="20"/>
            </w:pPr>
            <w:r>
              <w:rPr>
                <w:rFonts w:ascii="Microsoft YaHei" w:hAnsi="Microsoft YaHei" w:eastAsia="Microsoft YaHei"/>
                <w:color w:val="222222"/>
                <w:sz w:val="19"/>
              </w:rPr>
              <w:t>中国体检市场规模（2024）</w:t>
            </w:r>
          </w:p>
        </w:tc>
        <w:tc>
          <w:tcPr>
            <w:tcW w:type="dxa" w:w="4082"/>
          </w:tcPr>
          <w:p>
            <w:pPr>
              <w:spacing w:after="20"/>
            </w:pPr>
            <w:r>
              <w:rPr>
                <w:rFonts w:ascii="Microsoft YaHei" w:hAnsi="Microsoft YaHei" w:eastAsia="Microsoft YaHei"/>
                <w:color w:val="222222"/>
                <w:sz w:val="19"/>
              </w:rPr>
              <w:t>2374.3 亿元人民币【中国】；另一机构口径约 1890 亿元、同比 +7%、预计 2026 破 3000 亿（口径差异见注）</w:t>
            </w:r>
          </w:p>
        </w:tc>
        <w:tc>
          <w:tcPr>
            <w:tcW w:type="dxa" w:w="2948"/>
          </w:tcPr>
          <w:p>
            <w:pPr>
              <w:spacing w:after="20"/>
            </w:pPr>
            <w:r>
              <w:rPr>
                <w:rFonts w:ascii="Microsoft YaHei" w:hAnsi="Microsoft YaHei" w:eastAsia="Microsoft YaHei"/>
                <w:color w:val="222222"/>
                <w:sz w:val="19"/>
              </w:rPr>
              <w:t>艾媒咨询《2025 年中国数字健康管理…》（2374.3 亿）；中国行业研究网 / 中研普华研究院（1890 亿口径）</w:t>
            </w:r>
          </w:p>
        </w:tc>
      </w:tr>
      <w:tr>
        <w:tc>
          <w:tcPr>
            <w:tcW w:type="dxa" w:w="2608"/>
          </w:tcPr>
          <w:p>
            <w:pPr>
              <w:spacing w:after="20"/>
            </w:pPr>
            <w:r>
              <w:rPr>
                <w:rFonts w:ascii="Microsoft YaHei" w:hAnsi="Microsoft YaHei" w:eastAsia="Microsoft YaHei"/>
                <w:color w:val="222222"/>
                <w:sz w:val="19"/>
              </w:rPr>
              <w:t>中国健康管理行业市场规模（2024）</w:t>
            </w:r>
          </w:p>
        </w:tc>
        <w:tc>
          <w:tcPr>
            <w:tcW w:type="dxa" w:w="4082"/>
          </w:tcPr>
          <w:p>
            <w:pPr>
              <w:spacing w:after="20"/>
            </w:pPr>
            <w:r>
              <w:rPr>
                <w:rFonts w:ascii="Microsoft YaHei" w:hAnsi="Microsoft YaHei" w:eastAsia="Microsoft YaHei"/>
                <w:color w:val="222222"/>
                <w:sz w:val="19"/>
              </w:rPr>
              <w:t>据中研普华研究院测算突破 1.8 万亿元、同比 +32.5%（该机构口径，增速较高，引用须注明机构）【中国】</w:t>
            </w:r>
          </w:p>
        </w:tc>
        <w:tc>
          <w:tcPr>
            <w:tcW w:type="dxa" w:w="2948"/>
          </w:tcPr>
          <w:p>
            <w:pPr>
              <w:spacing w:after="20"/>
            </w:pPr>
            <w:r>
              <w:rPr>
                <w:rFonts w:ascii="Microsoft YaHei" w:hAnsi="Microsoft YaHei" w:eastAsia="Microsoft YaHei"/>
                <w:color w:val="222222"/>
                <w:sz w:val="19"/>
              </w:rPr>
              <w:t>中研普华研究院《2025–2030 年中国健康管理行业市场深度分析及发展前景展望研究报告》</w:t>
            </w:r>
          </w:p>
        </w:tc>
      </w:tr>
      <w:tr>
        <w:tc>
          <w:tcPr>
            <w:tcW w:type="dxa" w:w="2608"/>
          </w:tcPr>
          <w:p>
            <w:pPr>
              <w:spacing w:after="20"/>
            </w:pPr>
            <w:r>
              <w:rPr>
                <w:rFonts w:ascii="Microsoft YaHei" w:hAnsi="Microsoft YaHei" w:eastAsia="Microsoft YaHei"/>
                <w:color w:val="222222"/>
                <w:sz w:val="19"/>
              </w:rPr>
              <w:t>健康/健身俱乐部会员年留存（2024）</w:t>
            </w:r>
          </w:p>
        </w:tc>
        <w:tc>
          <w:tcPr>
            <w:tcW w:type="dxa" w:w="4082"/>
          </w:tcPr>
          <w:p>
            <w:pPr>
              <w:spacing w:after="20"/>
            </w:pPr>
            <w:r>
              <w:rPr>
                <w:rFonts w:ascii="Microsoft YaHei" w:hAnsi="Microsoft YaHei" w:eastAsia="Microsoft YaHei"/>
                <w:color w:val="222222"/>
                <w:sz w:val="19"/>
              </w:rPr>
              <w:t>约 66.4% 年留存，约 3.4% 月流失，平均在约 30 个月【国际·美国】</w:t>
            </w:r>
          </w:p>
        </w:tc>
        <w:tc>
          <w:tcPr>
            <w:tcW w:type="dxa" w:w="2948"/>
          </w:tcPr>
          <w:p>
            <w:pPr>
              <w:spacing w:after="20"/>
            </w:pPr>
            <w:r>
              <w:rPr>
                <w:rFonts w:ascii="Microsoft YaHei" w:hAnsi="Microsoft YaHei" w:eastAsia="Microsoft YaHei"/>
                <w:color w:val="222222"/>
                <w:sz w:val="19"/>
              </w:rPr>
              <w:t>Health &amp; Fitness Association 2025 基准报告（175 家企业、17,000+ 设施，2024 数据）</w:t>
            </w:r>
          </w:p>
        </w:tc>
      </w:tr>
      <w:tr>
        <w:tc>
          <w:tcPr>
            <w:tcW w:type="dxa" w:w="2608"/>
          </w:tcPr>
          <w:p>
            <w:pPr>
              <w:spacing w:after="20"/>
            </w:pPr>
            <w:r>
              <w:rPr>
                <w:rFonts w:ascii="Microsoft YaHei" w:hAnsi="Microsoft YaHei" w:eastAsia="Microsoft YaHei"/>
                <w:color w:val="222222"/>
                <w:sz w:val="19"/>
              </w:rPr>
              <w:t>健康订阅类月流失率（2024）</w:t>
            </w:r>
          </w:p>
        </w:tc>
        <w:tc>
          <w:tcPr>
            <w:tcW w:type="dxa" w:w="4082"/>
          </w:tcPr>
          <w:p>
            <w:pPr>
              <w:spacing w:after="20"/>
            </w:pPr>
            <w:r>
              <w:rPr>
                <w:rFonts w:ascii="Microsoft YaHei" w:hAnsi="Microsoft YaHei" w:eastAsia="Microsoft YaHei"/>
                <w:color w:val="222222"/>
                <w:sz w:val="19"/>
              </w:rPr>
              <w:t>平均约 5%–8% 每月【国际】</w:t>
            </w:r>
          </w:p>
        </w:tc>
        <w:tc>
          <w:tcPr>
            <w:tcW w:type="dxa" w:w="2948"/>
          </w:tcPr>
          <w:p>
            <w:pPr>
              <w:spacing w:after="20"/>
            </w:pPr>
            <w:r>
              <w:rPr>
                <w:rFonts w:ascii="Microsoft YaHei" w:hAnsi="Microsoft YaHei" w:eastAsia="Microsoft YaHei"/>
                <w:color w:val="222222"/>
                <w:sz w:val="19"/>
              </w:rPr>
              <w:t>McKinsey（2024）健康订阅类（wellness subscription）研究</w:t>
            </w:r>
          </w:p>
        </w:tc>
      </w:tr>
      <w:tr>
        <w:tc>
          <w:tcPr>
            <w:tcW w:type="dxa" w:w="2608"/>
          </w:tcPr>
          <w:p>
            <w:pPr>
              <w:spacing w:after="20"/>
            </w:pPr>
            <w:r>
              <w:rPr>
                <w:rFonts w:ascii="Microsoft YaHei" w:hAnsi="Microsoft YaHei" w:eastAsia="Microsoft YaHei"/>
                <w:color w:val="222222"/>
                <w:sz w:val="19"/>
              </w:rPr>
              <w:t>消费者健康订阅留存与营收（2024）</w:t>
            </w:r>
          </w:p>
        </w:tc>
        <w:tc>
          <w:tcPr>
            <w:tcW w:type="dxa" w:w="4082"/>
          </w:tcPr>
          <w:p>
            <w:pPr>
              <w:spacing w:after="20"/>
            </w:pPr>
            <w:r>
              <w:rPr>
                <w:rFonts w:ascii="Microsoft YaHei" w:hAnsi="Microsoft YaHei" w:eastAsia="Microsoft YaHei"/>
                <w:color w:val="222222"/>
                <w:sz w:val="19"/>
              </w:rPr>
              <w:t>订阅收入占比 &gt;90%、3 个月以上留存约 82%、营收同比 +69% 至约 14.8 亿美元【国际·美国】</w:t>
            </w:r>
          </w:p>
        </w:tc>
        <w:tc>
          <w:tcPr>
            <w:tcW w:type="dxa" w:w="2948"/>
          </w:tcPr>
          <w:p>
            <w:pPr>
              <w:spacing w:after="20"/>
            </w:pPr>
            <w:r>
              <w:rPr>
                <w:rFonts w:ascii="Microsoft YaHei" w:hAnsi="Microsoft YaHei" w:eastAsia="Microsoft YaHei"/>
                <w:color w:val="222222"/>
                <w:sz w:val="19"/>
              </w:rPr>
              <w:t>Hims &amp; Hers 公开财报 / Nasdaq 报道（2024）</w:t>
            </w:r>
          </w:p>
        </w:tc>
      </w:tr>
      <w:tr>
        <w:tc>
          <w:tcPr>
            <w:tcW w:type="dxa" w:w="2608"/>
          </w:tcPr>
          <w:p>
            <w:pPr>
              <w:spacing w:after="20"/>
            </w:pPr>
            <w:r>
              <w:rPr>
                <w:rFonts w:ascii="Microsoft YaHei" w:hAnsi="Microsoft YaHei" w:eastAsia="Microsoft YaHei"/>
                <w:color w:val="222222"/>
                <w:sz w:val="19"/>
              </w:rPr>
              <w:t>医疗服务 NPS 基准（2024）</w:t>
            </w:r>
          </w:p>
        </w:tc>
        <w:tc>
          <w:tcPr>
            <w:tcW w:type="dxa" w:w="4082"/>
          </w:tcPr>
          <w:p>
            <w:pPr>
              <w:spacing w:after="20"/>
            </w:pPr>
            <w:r>
              <w:rPr>
                <w:rFonts w:ascii="Microsoft YaHei" w:hAnsi="Microsoft YaHei" w:eastAsia="Microsoft YaHei"/>
                <w:color w:val="222222"/>
                <w:sz w:val="19"/>
              </w:rPr>
              <w:t>UHS 行为健康 NPS 41（行业"great"）；Alignment Healthcare NPS 61（行业均值约 40）；Aurora Healthcare NPS 89（世界级）【国际】</w:t>
            </w:r>
          </w:p>
        </w:tc>
        <w:tc>
          <w:tcPr>
            <w:tcW w:type="dxa" w:w="2948"/>
          </w:tcPr>
          <w:p>
            <w:pPr>
              <w:spacing w:after="20"/>
            </w:pPr>
            <w:r>
              <w:rPr>
                <w:rFonts w:ascii="Microsoft YaHei" w:hAnsi="Microsoft YaHei" w:eastAsia="Microsoft YaHei"/>
                <w:color w:val="222222"/>
                <w:sz w:val="19"/>
              </w:rPr>
              <w:t>UHS（2024）、Alignment Healthcare 2024 影响力报告、Aurora Healthcare（2024）</w:t>
            </w:r>
          </w:p>
        </w:tc>
      </w:tr>
      <w:tr>
        <w:tc>
          <w:tcPr>
            <w:tcW w:type="dxa" w:w="2608"/>
          </w:tcPr>
          <w:p>
            <w:pPr>
              <w:spacing w:after="20"/>
            </w:pPr>
            <w:r>
              <w:rPr>
                <w:rFonts w:ascii="Microsoft YaHei" w:hAnsi="Microsoft YaHei" w:eastAsia="Microsoft YaHei"/>
                <w:color w:val="222222"/>
                <w:sz w:val="19"/>
              </w:rPr>
              <w:t>健康管理 App 用户动机（2025）</w:t>
            </w:r>
          </w:p>
        </w:tc>
        <w:tc>
          <w:tcPr>
            <w:tcW w:type="dxa" w:w="4082"/>
          </w:tcPr>
          <w:p>
            <w:pPr>
              <w:spacing w:after="20"/>
            </w:pPr>
            <w:r>
              <w:rPr>
                <w:rFonts w:ascii="Microsoft YaHei" w:hAnsi="Microsoft YaHei" w:eastAsia="Microsoft YaHei"/>
                <w:color w:val="222222"/>
                <w:sz w:val="19"/>
              </w:rPr>
              <w:t>改善睡眠 63.57%、体型管理 44.30%、肠道健康 40.09%；选择因素中"食物营养管理分析"46.73%【中国】</w:t>
            </w:r>
          </w:p>
        </w:tc>
        <w:tc>
          <w:tcPr>
            <w:tcW w:type="dxa" w:w="2948"/>
          </w:tcPr>
          <w:p>
            <w:pPr>
              <w:spacing w:after="20"/>
            </w:pPr>
            <w:r>
              <w:rPr>
                <w:rFonts w:ascii="Microsoft YaHei" w:hAnsi="Microsoft YaHei" w:eastAsia="Microsoft YaHei"/>
                <w:color w:val="222222"/>
                <w:sz w:val="19"/>
              </w:rPr>
              <w:t>艾媒咨询（iiMedia Research）《2025 年中国数字健康管理行业发展状况与用户行为调查数据》</w:t>
            </w:r>
          </w:p>
        </w:tc>
      </w:tr>
      <w:tr>
        <w:tc>
          <w:tcPr>
            <w:tcW w:type="dxa" w:w="2608"/>
          </w:tcPr>
          <w:p>
            <w:pPr>
              <w:spacing w:after="20"/>
            </w:pPr>
            <w:r>
              <w:rPr>
                <w:rFonts w:ascii="Microsoft YaHei" w:hAnsi="Microsoft YaHei" w:eastAsia="Microsoft YaHei"/>
                <w:color w:val="222222"/>
                <w:sz w:val="19"/>
              </w:rPr>
              <w:t>健康数据合规定性</w:t>
            </w:r>
          </w:p>
        </w:tc>
        <w:tc>
          <w:tcPr>
            <w:tcW w:type="dxa" w:w="4082"/>
          </w:tcPr>
          <w:p>
            <w:pPr>
              <w:spacing w:after="20"/>
            </w:pPr>
            <w:r>
              <w:rPr>
                <w:rFonts w:ascii="Microsoft YaHei" w:hAnsi="Microsoft YaHei" w:eastAsia="Microsoft YaHei"/>
                <w:color w:val="222222"/>
                <w:sz w:val="19"/>
              </w:rPr>
              <w:t>医疗健康信息属敏感个人信息；处理须取得单独同意；处理前须做 PIA 且记录保存≥3 年【中国】</w:t>
            </w:r>
          </w:p>
        </w:tc>
        <w:tc>
          <w:tcPr>
            <w:tcW w:type="dxa" w:w="2948"/>
          </w:tcPr>
          <w:p>
            <w:pPr>
              <w:spacing w:after="20"/>
            </w:pPr>
            <w:r>
              <w:rPr>
                <w:rFonts w:ascii="Microsoft YaHei" w:hAnsi="Microsoft YaHei" w:eastAsia="Microsoft YaHei"/>
                <w:color w:val="222222"/>
                <w:sz w:val="19"/>
              </w:rPr>
              <w:t>《中华人民共和国个人信息保护法》第 28、29、55 条（2021-11-01 施行）</w:t>
            </w:r>
          </w:p>
        </w:tc>
      </w:tr>
    </w:tbl>
    <w:p>
      <w:pPr>
        <w:spacing w:before="20" w:after="120"/>
      </w:pPr>
      <w:r>
        <w:rPr>
          <w:rFonts w:ascii="Microsoft YaHei" w:hAnsi="Microsoft YaHei" w:eastAsia="Microsoft YaHei"/>
          <w:b w:val="0"/>
          <w:i/>
          <w:color w:val="666666"/>
          <w:sz w:val="17"/>
        </w:rPr>
        <w:t>口径提示：体检市场规模存在多口径（艾媒 2374.3 亿 vs 行业研究网/中研普华约 1890 亿），引用时以具体报告口径为准，不做跨口径简单相加；国际基准样本以欧美市场为主，与中国市场存在差异，仅作行业参照。</w:t>
      </w:r>
    </w:p>
    <w:p>
      <w:pPr>
        <w:pStyle w:val="Heading1"/>
        <w:spacing w:before="240" w:after="120"/>
        <w:pBdr>
          <w:bottom w:val="single" w:sz="6" w:space="2" w:color="B8820B"/>
        </w:pBdr>
      </w:pPr>
      <w:r>
        <w:rPr>
          <w:rFonts w:ascii="Microsoft YaHei" w:hAnsi="Microsoft YaHei" w:eastAsia="Microsoft YaHei"/>
          <w:b/>
          <w:color w:val="0A2540"/>
          <w:sz w:val="30"/>
        </w:rPr>
        <w:t>六、方法论附录（透明度说明）</w:t>
      </w:r>
    </w:p>
    <w:p>
      <w:pPr>
        <w:pStyle w:val="ListBullet"/>
        <w:spacing w:after="40"/>
      </w:pPr>
      <w:r>
        <w:rPr>
          <w:rFonts w:ascii="Microsoft YaHei" w:hAnsi="Microsoft YaHei" w:eastAsia="Microsoft YaHei"/>
          <w:b/>
          <w:color w:val="0A2540"/>
          <w:sz w:val="21"/>
        </w:rPr>
        <w:t>框架来源：</w:t>
      </w:r>
      <w:r>
        <w:rPr>
          <w:rFonts w:ascii="Microsoft YaHei" w:hAnsi="Microsoft YaHei" w:eastAsia="Microsoft YaHei"/>
          <w:color w:val="222222"/>
          <w:sz w:val="21"/>
        </w:rPr>
        <w:t>框架来源：KYC 十步（健康版）（KYC-10 Steps, Health Edition）源自硕昂咨询在美业与大健康连锁的客户经营交付实践，为专有方法论资产；本版为面向健康服务连锁的适配版。</w:t>
      </w:r>
    </w:p>
    <w:p>
      <w:pPr>
        <w:pStyle w:val="ListBullet"/>
        <w:spacing w:after="40"/>
      </w:pPr>
      <w:r>
        <w:rPr>
          <w:rFonts w:ascii="Microsoft YaHei" w:hAnsi="Microsoft YaHei" w:eastAsia="Microsoft YaHei"/>
          <w:b/>
          <w:color w:val="0A2540"/>
          <w:sz w:val="21"/>
        </w:rPr>
        <w:t>数据口径：</w:t>
      </w:r>
      <w:r>
        <w:rPr>
          <w:rFonts w:ascii="Microsoft YaHei" w:hAnsi="Microsoft YaHei" w:eastAsia="Microsoft YaHei"/>
          <w:color w:val="222222"/>
          <w:sz w:val="21"/>
        </w:rPr>
        <w:t>数据口径：第五章所有市场规模与人群数据均引自公开第三方报告，逐项标注机构、报告名与年份；本白皮书未对来源数据做二次推算或外推。</w:t>
      </w:r>
    </w:p>
    <w:p>
      <w:pPr>
        <w:pStyle w:val="ListBullet"/>
        <w:spacing w:after="40"/>
      </w:pPr>
      <w:r>
        <w:rPr>
          <w:rFonts w:ascii="Microsoft YaHei" w:hAnsi="Microsoft YaHei" w:eastAsia="Microsoft YaHei"/>
          <w:b/>
          <w:color w:val="0A2540"/>
          <w:sz w:val="21"/>
        </w:rPr>
        <w:t>样本与边界：</w:t>
      </w:r>
      <w:r>
        <w:rPr>
          <w:rFonts w:ascii="Microsoft YaHei" w:hAnsi="Microsoft YaHei" w:eastAsia="Microsoft YaHei"/>
          <w:color w:val="222222"/>
          <w:sz w:val="21"/>
        </w:rPr>
        <w:t>样本与边界：案例指标须来自真实交付台账（脱敏），未经客户授权不以任何形式披露；本白皮书不含任何虚构的客户结果。</w:t>
      </w:r>
    </w:p>
    <w:p>
      <w:pPr>
        <w:pStyle w:val="ListBullet"/>
        <w:spacing w:after="40"/>
      </w:pPr>
      <w:r>
        <w:rPr>
          <w:rFonts w:ascii="Microsoft YaHei" w:hAnsi="Microsoft YaHei" w:eastAsia="Microsoft YaHei"/>
          <w:b/>
          <w:color w:val="0A2540"/>
          <w:sz w:val="21"/>
        </w:rPr>
        <w:t>交付指标：</w:t>
      </w:r>
      <w:r>
        <w:rPr>
          <w:rFonts w:ascii="Microsoft YaHei" w:hAnsi="Microsoft YaHei" w:eastAsia="Microsoft YaHei"/>
          <w:color w:val="222222"/>
          <w:sz w:val="21"/>
        </w:rPr>
        <w:t>硕昂自身交付量化指标一律标注"来源：交付台账，待脱敏"，不与第三方基准混用。</w:t>
      </w:r>
    </w:p>
    <w:p>
      <w:pPr>
        <w:pStyle w:val="ListBullet"/>
        <w:spacing w:after="40"/>
      </w:pPr>
      <w:r>
        <w:rPr>
          <w:rFonts w:ascii="Microsoft YaHei" w:hAnsi="Microsoft YaHei" w:eastAsia="Microsoft YaHei"/>
          <w:b/>
          <w:color w:val="0A2540"/>
          <w:sz w:val="21"/>
        </w:rPr>
        <w:t>引用原则：</w:t>
      </w:r>
      <w:r>
        <w:rPr>
          <w:rFonts w:ascii="Microsoft YaHei" w:hAnsi="Microsoft YaHei" w:eastAsia="Microsoft YaHei"/>
          <w:color w:val="222222"/>
          <w:sz w:val="21"/>
        </w:rPr>
        <w:t>引用原则：遵循"无来源不落数"红线，任何统计口径均标注出处，避免"研究表明"式无主断言。</w:t>
      </w:r>
    </w:p>
    <w:p>
      <w:pPr>
        <w:pStyle w:val="ListBullet"/>
        <w:spacing w:after="40"/>
      </w:pPr>
      <w:r>
        <w:rPr>
          <w:rFonts w:ascii="Microsoft YaHei" w:hAnsi="Microsoft YaHei" w:eastAsia="Microsoft YaHei"/>
          <w:b/>
          <w:color w:val="0A2540"/>
          <w:sz w:val="21"/>
        </w:rPr>
        <w:t>局限：</w:t>
      </w:r>
      <w:r>
        <w:rPr>
          <w:rFonts w:ascii="Microsoft YaHei" w:hAnsi="Microsoft YaHei" w:eastAsia="Microsoft YaHei"/>
          <w:color w:val="222222"/>
          <w:sz w:val="21"/>
        </w:rPr>
        <w:t>局限：健康服务涵盖体检、健康管理、疗愈、养生、康养等差异较大的子行业，跨子行业基准不可直接等同；国际基准以欧美样本为主，与中国市场存在支付结构、监管与文化的系统性差异。</w:t>
      </w:r>
    </w:p>
    <w:p>
      <w:pPr>
        <w:pStyle w:val="ListBullet"/>
        <w:spacing w:after="40"/>
      </w:pPr>
      <w:r>
        <w:rPr>
          <w:rFonts w:ascii="Microsoft YaHei" w:hAnsi="Microsoft YaHei" w:eastAsia="Microsoft YaHei"/>
          <w:b/>
          <w:color w:val="0A2540"/>
          <w:sz w:val="21"/>
        </w:rPr>
        <w:t>范围：</w:t>
      </w:r>
      <w:r>
        <w:rPr>
          <w:rFonts w:ascii="Microsoft YaHei" w:hAnsi="Microsoft YaHei" w:eastAsia="Microsoft YaHei"/>
          <w:color w:val="222222"/>
          <w:sz w:val="21"/>
        </w:rPr>
        <w:t>地理与行业范围：聚焦健康服务连锁，方法可迁移至美业、银保、汽车、保险等以关系经营为核心的渠道型业务。</w:t>
      </w:r>
    </w:p>
    <w:p>
      <w:pPr>
        <w:pStyle w:val="Heading1"/>
        <w:spacing w:before="240" w:after="120"/>
        <w:pBdr>
          <w:bottom w:val="single" w:sz="6" w:space="2" w:color="B8820B"/>
        </w:pBdr>
      </w:pPr>
      <w:r>
        <w:rPr>
          <w:rFonts w:ascii="Microsoft YaHei" w:hAnsi="Microsoft YaHei" w:eastAsia="Microsoft YaHei"/>
          <w:b/>
          <w:color w:val="0A2540"/>
          <w:sz w:val="30"/>
        </w:rPr>
        <w:t>七、脱敏案例研究（Case Study）</w:t>
      </w:r>
    </w:p>
    <w:p>
      <w:pPr>
        <w:spacing w:before="40" w:after="80"/>
      </w:pPr>
      <w:r>
        <w:rPr>
          <w:rFonts w:ascii="Microsoft YaHei" w:hAnsi="Microsoft YaHei" w:eastAsia="Microsoft YaHei"/>
          <w:b w:val="0"/>
          <w:i/>
          <w:color w:val="666666"/>
          <w:sz w:val="19"/>
        </w:rPr>
        <w:t>说明：以下案例为单一客户脱敏呈现；证据栏留空占位，本白皮书不编造任何指标。</w:t>
      </w:r>
    </w:p>
    <w:p>
      <w:pPr>
        <w:pStyle w:val="ListBullet"/>
        <w:spacing w:after="40"/>
      </w:pPr>
      <w:r>
        <w:rPr>
          <w:rFonts w:ascii="Microsoft YaHei" w:hAnsi="Microsoft YaHei" w:eastAsia="Microsoft YaHei"/>
          <w:color w:val="222222"/>
          <w:sz w:val="21"/>
        </w:rPr>
        <w:t>客户类型（脱敏）：某健康服务连锁（体检 / 健康管理 / 疗愈 / 养生等场景之一）。</w:t>
      </w:r>
    </w:p>
    <w:p>
      <w:pPr>
        <w:pStyle w:val="ListBullet"/>
        <w:spacing w:after="40"/>
      </w:pPr>
      <w:r>
        <w:rPr>
          <w:rFonts w:ascii="Microsoft YaHei" w:hAnsi="Microsoft YaHei" w:eastAsia="Microsoft YaHei"/>
          <w:color w:val="222222"/>
          <w:sz w:val="21"/>
        </w:rPr>
        <w:t>业务痛点：客户信息与信任关系沉淀在顾问个人微信，复购与转介绍不可控；顾问离任即客户与合规风险流失。</w:t>
      </w:r>
    </w:p>
    <w:p>
      <w:pPr>
        <w:pStyle w:val="ListBullet"/>
        <w:spacing w:after="40"/>
      </w:pPr>
      <w:r>
        <w:rPr>
          <w:rFonts w:ascii="Microsoft YaHei" w:hAnsi="Microsoft YaHei" w:eastAsia="Microsoft YaHei"/>
          <w:color w:val="222222"/>
          <w:sz w:val="21"/>
        </w:rPr>
        <w:t>硕昂交付形式：基于「KYC 十步（健康版）」框架的健康客户经营培训 + 行动学习工作坊。</w:t>
      </w:r>
    </w:p>
    <w:p>
      <w:pPr>
        <w:pStyle w:val="ListBullet"/>
        <w:spacing w:after="40"/>
      </w:pPr>
      <w:r>
        <w:rPr>
          <w:rFonts w:ascii="Microsoft YaHei" w:hAnsi="Microsoft YaHei" w:eastAsia="Microsoft YaHei"/>
          <w:color w:val="222222"/>
          <w:sz w:val="21"/>
        </w:rPr>
        <w:t>可验证动作：课前 KYC 现状诊断 → 课中产出个人《客户经营 KYC 表》 → 课后应用检核。</w:t>
      </w:r>
    </w:p>
    <w:p>
      <w:pPr>
        <w:spacing w:before="80" w:after="40"/>
      </w:pPr>
      <w:r>
        <w:rPr>
          <w:rFonts w:ascii="Microsoft YaHei" w:hAnsi="Microsoft YaHei" w:eastAsia="Microsoft YaHei"/>
          <w:b/>
          <w:i w:val="0"/>
          <w:color w:val="B03030"/>
          <w:sz w:val="21"/>
        </w:rPr>
        <w:t>证据栏：⚠️ 填真实脱敏指标，来源：交付台账，禁编造</w:t>
      </w:r>
    </w:p>
    <w:p>
      <w:pPr>
        <w:spacing w:before="40" w:after="120"/>
      </w:pPr>
      <w:r>
        <w:rPr>
          <w:rFonts w:ascii="Microsoft YaHei" w:hAnsi="Microsoft YaHei" w:eastAsia="Microsoft YaHei"/>
          <w:b w:val="0"/>
          <w:i/>
          <w:color w:val="666666"/>
          <w:sz w:val="18"/>
        </w:rPr>
        <w:t>（示例字段：客户信息入表率、可交接客户占比、复购动作执行率、健康档案合规达标率等——均需取自真实交付台账并脱敏后填写。）</w:t>
      </w:r>
    </w:p>
    <w:p>
      <w:pPr>
        <w:spacing w:before="40" w:after="160"/>
      </w:pPr>
      <w:r>
        <w:rPr>
          <w:rFonts w:ascii="Microsoft YaHei" w:hAnsi="Microsoft YaHei" w:eastAsia="Microsoft YaHei"/>
          <w:b/>
          <w:i w:val="0"/>
          <w:color w:val="0A2540"/>
          <w:sz w:val="21"/>
        </w:rPr>
        <w:t>待客户授权后补充。</w:t>
      </w:r>
    </w:p>
    <w:p>
      <w:pPr>
        <w:pStyle w:val="Heading1"/>
        <w:spacing w:before="240" w:after="120"/>
        <w:pBdr>
          <w:bottom w:val="single" w:sz="6" w:space="2" w:color="B8820B"/>
        </w:pBdr>
      </w:pPr>
      <w:r>
        <w:rPr>
          <w:rFonts w:ascii="Microsoft YaHei" w:hAnsi="Microsoft YaHei" w:eastAsia="Microsoft YaHei"/>
          <w:b/>
          <w:color w:val="0A2540"/>
          <w:sz w:val="30"/>
        </w:rPr>
        <w:t>八、90 天行动手册（Playbook）</w:t>
      </w:r>
    </w:p>
    <w:p>
      <w:pPr>
        <w:pStyle w:val="Heading2"/>
        <w:spacing w:before="160" w:after="60"/>
      </w:pPr>
      <w:r>
        <w:rPr>
          <w:rFonts w:ascii="Microsoft YaHei" w:hAnsi="Microsoft YaHei" w:eastAsia="Microsoft YaHei"/>
          <w:b/>
          <w:color w:val="B8820B"/>
          <w:sz w:val="25"/>
        </w:rPr>
        <w:t>第一阶段 · 课前诊断（第 1–30 天）</w:t>
      </w:r>
    </w:p>
    <w:p>
      <w:pPr>
        <w:pStyle w:val="ListBullet"/>
        <w:spacing w:after="40"/>
      </w:pPr>
      <w:r>
        <w:rPr>
          <w:rFonts w:ascii="Microsoft YaHei" w:hAnsi="Microsoft YaHei" w:eastAsia="Microsoft YaHei"/>
          <w:color w:val="222222"/>
          <w:sz w:val="21"/>
        </w:rPr>
        <w:t>现状盘点：梳理现有客户信息散落情况，识别"只在顾问微信里"的客户资产与潜在合规敞口。</w:t>
      </w:r>
    </w:p>
    <w:p>
      <w:pPr>
        <w:pStyle w:val="ListBullet"/>
        <w:spacing w:after="40"/>
      </w:pPr>
      <w:r>
        <w:rPr>
          <w:rFonts w:ascii="Microsoft YaHei" w:hAnsi="Microsoft YaHei" w:eastAsia="Microsoft YaHei"/>
          <w:color w:val="222222"/>
          <w:sz w:val="21"/>
        </w:rPr>
        <w:t>KYC 现状诊断：用 KYC 十步（健康版）十个步骤做差距评估，定位最薄弱的 2–3 个步骤（多为画像、需求、复购）。</w:t>
      </w:r>
    </w:p>
    <w:p>
      <w:pPr>
        <w:pStyle w:val="ListBullet"/>
        <w:spacing w:after="40"/>
      </w:pPr>
      <w:r>
        <w:rPr>
          <w:rFonts w:ascii="Microsoft YaHei" w:hAnsi="Microsoft YaHei" w:eastAsia="Microsoft YaHei"/>
          <w:color w:val="222222"/>
          <w:sz w:val="21"/>
        </w:rPr>
        <w:t>合规基线：核对健康数据采集的单独同意与 PIA 机制，明确哪些字段须先授权再采集。</w:t>
      </w:r>
    </w:p>
    <w:p>
      <w:pPr>
        <w:pStyle w:val="ListBullet"/>
        <w:spacing w:after="40"/>
      </w:pPr>
      <w:r>
        <w:rPr>
          <w:rFonts w:ascii="Microsoft YaHei" w:hAnsi="Microsoft YaHei" w:eastAsia="Microsoft YaHei"/>
          <w:color w:val="222222"/>
          <w:sz w:val="21"/>
        </w:rPr>
        <w:t>确定产出物：明确课中工作坊要产出的《客户经营 KYC 表》模板与健康档案分层标准。</w:t>
      </w:r>
    </w:p>
    <w:p>
      <w:pPr>
        <w:pStyle w:val="Heading2"/>
        <w:spacing w:before="160" w:after="60"/>
      </w:pPr>
      <w:r>
        <w:rPr>
          <w:rFonts w:ascii="Microsoft YaHei" w:hAnsi="Microsoft YaHei" w:eastAsia="Microsoft YaHei"/>
          <w:b/>
          <w:color w:val="B8820B"/>
          <w:sz w:val="25"/>
        </w:rPr>
        <w:t>第二阶段 · 课中行动学习（第 31–60 天）</w:t>
      </w:r>
    </w:p>
    <w:p>
      <w:pPr>
        <w:pStyle w:val="ListBullet"/>
        <w:spacing w:after="40"/>
      </w:pPr>
      <w:r>
        <w:rPr>
          <w:rFonts w:ascii="Microsoft YaHei" w:hAnsi="Microsoft YaHei" w:eastAsia="Microsoft YaHei"/>
          <w:color w:val="222222"/>
          <w:sz w:val="21"/>
        </w:rPr>
        <w:t>工作坊交付：以健康场景化的 KYC 十步 + 聊天技巧 + 客户信息表，现场训练采集、洞察、经营动作。</w:t>
      </w:r>
    </w:p>
    <w:p>
      <w:pPr>
        <w:pStyle w:val="ListBullet"/>
        <w:spacing w:after="40"/>
      </w:pPr>
      <w:r>
        <w:rPr>
          <w:rFonts w:ascii="Microsoft YaHei" w:hAnsi="Microsoft YaHei" w:eastAsia="Microsoft YaHei"/>
          <w:color w:val="222222"/>
          <w:sz w:val="21"/>
        </w:rPr>
        <w:t>现场产出：每位学员产出属于自己的个人《客户经营 KYC 表》，而非统一抄写模板。</w:t>
      </w:r>
    </w:p>
    <w:p>
      <w:pPr>
        <w:pStyle w:val="ListBullet"/>
        <w:spacing w:after="40"/>
      </w:pPr>
      <w:r>
        <w:rPr>
          <w:rFonts w:ascii="Microsoft YaHei" w:hAnsi="Microsoft YaHei" w:eastAsia="Microsoft YaHei"/>
          <w:color w:val="222222"/>
          <w:sz w:val="21"/>
        </w:rPr>
        <w:t>合规演练：在画像、需求、转介步骤中嵌入单独同意与去标识化演练，养成合规肌肉记忆。</w:t>
      </w:r>
    </w:p>
    <w:p>
      <w:pPr>
        <w:pStyle w:val="ListBullet"/>
        <w:spacing w:after="40"/>
      </w:pPr>
      <w:r>
        <w:rPr>
          <w:rFonts w:ascii="Microsoft YaHei" w:hAnsi="Microsoft YaHei" w:eastAsia="Microsoft YaHei"/>
          <w:color w:val="222222"/>
          <w:sz w:val="21"/>
        </w:rPr>
        <w:t>转介绍设计练习：在场景演练中完成一次自然、合规的转介绍请求。</w:t>
      </w:r>
    </w:p>
    <w:p>
      <w:pPr>
        <w:pStyle w:val="Heading2"/>
        <w:spacing w:before="160" w:after="60"/>
      </w:pPr>
      <w:r>
        <w:rPr>
          <w:rFonts w:ascii="Microsoft YaHei" w:hAnsi="Microsoft YaHei" w:eastAsia="Microsoft YaHei"/>
          <w:b/>
          <w:color w:val="B8820B"/>
          <w:sz w:val="25"/>
        </w:rPr>
        <w:t>第三阶段 · 课后应用检核（第 61–90 天）</w:t>
      </w:r>
    </w:p>
    <w:p>
      <w:pPr>
        <w:pStyle w:val="ListBullet"/>
        <w:spacing w:after="40"/>
      </w:pPr>
      <w:r>
        <w:rPr>
          <w:rFonts w:ascii="Microsoft YaHei" w:hAnsi="Microsoft YaHei" w:eastAsia="Microsoft YaHei"/>
          <w:color w:val="222222"/>
          <w:sz w:val="21"/>
        </w:rPr>
        <w:t>应用检核：以健康档案入表率、画像完整度、经营动作执行频率、合规达标率四项做周度检核。</w:t>
      </w:r>
    </w:p>
    <w:p>
      <w:pPr>
        <w:pStyle w:val="ListBullet"/>
        <w:spacing w:after="40"/>
      </w:pPr>
      <w:r>
        <w:rPr>
          <w:rFonts w:ascii="Microsoft YaHei" w:hAnsi="Microsoft YaHei" w:eastAsia="Microsoft YaHei"/>
          <w:color w:val="222222"/>
          <w:sz w:val="21"/>
        </w:rPr>
        <w:t>交接演练：模拟顾问离任场景，验证客户资产可在组织内无缝、合规交接。</w:t>
      </w:r>
    </w:p>
    <w:p>
      <w:pPr>
        <w:pStyle w:val="ListBullet"/>
        <w:spacing w:after="40"/>
      </w:pPr>
      <w:r>
        <w:rPr>
          <w:rFonts w:ascii="Microsoft YaHei" w:hAnsi="Microsoft YaHei" w:eastAsia="Microsoft YaHei"/>
          <w:color w:val="222222"/>
          <w:sz w:val="21"/>
        </w:rPr>
        <w:t>复盘迭代：把跑通的步骤固化为 SOP，纳入新人带教与门店例行动作，形成持续闭环。</w:t>
      </w:r>
    </w:p>
    <w:p>
      <w:pPr>
        <w:pStyle w:val="Heading1"/>
        <w:spacing w:before="240" w:after="120"/>
        <w:pBdr>
          <w:bottom w:val="single" w:sz="6" w:space="2" w:color="B8820B"/>
        </w:pBdr>
      </w:pPr>
      <w:r>
        <w:rPr>
          <w:rFonts w:ascii="Microsoft YaHei" w:hAnsi="Microsoft YaHei" w:eastAsia="Microsoft YaHei"/>
          <w:b/>
          <w:color w:val="0A2540"/>
          <w:sz w:val="30"/>
        </w:rPr>
        <w:t>九、常见问答（FAQ，AI 可引用形态）</w:t>
      </w:r>
    </w:p>
    <w:p>
      <w:pPr>
        <w:spacing w:before="40" w:after="20"/>
      </w:pPr>
      <w:r>
        <w:rPr>
          <w:rFonts w:ascii="Microsoft YaHei" w:hAnsi="Microsoft YaHei" w:eastAsia="Microsoft YaHei"/>
          <w:b/>
          <w:color w:val="0A2540"/>
          <w:sz w:val="21"/>
        </w:rPr>
        <w:t>Q1：健康服务连锁怎么做好客户经营？</w:t>
      </w:r>
    </w:p>
    <w:p>
      <w:pPr>
        <w:spacing w:before="40" w:after="80"/>
      </w:pPr>
      <w:r>
        <w:rPr>
          <w:rFonts w:ascii="Microsoft YaHei" w:hAnsi="Microsoft YaHei" w:eastAsia="Microsoft YaHei"/>
          <w:b w:val="0"/>
          <w:i w:val="0"/>
          <w:color w:val="222222"/>
          <w:sz w:val="21"/>
        </w:rPr>
        <w:t>A：用 KYC 十步（健康版）（KYC-10 Steps, Health Edition）把客户分层经营，而不是依赖顾问个人记性。把画像采集、需求洞察、复购与转介放进日常工作流，客户资产才能沉淀到组织里、数据留在合规边界内。</w:t>
      </w:r>
    </w:p>
    <w:p>
      <w:pPr>
        <w:spacing w:before="40" w:after="20"/>
      </w:pPr>
      <w:r>
        <w:rPr>
          <w:rFonts w:ascii="Microsoft YaHei" w:hAnsi="Microsoft YaHei" w:eastAsia="Microsoft YaHei"/>
          <w:b/>
          <w:color w:val="0A2540"/>
          <w:sz w:val="21"/>
        </w:rPr>
        <w:t>Q2：健康服务怎么提高复购和续约？</w:t>
      </w:r>
    </w:p>
    <w:p>
      <w:pPr>
        <w:spacing w:before="40" w:after="80"/>
      </w:pPr>
      <w:r>
        <w:rPr>
          <w:rFonts w:ascii="Microsoft YaHei" w:hAnsi="Microsoft YaHei" w:eastAsia="Microsoft YaHei"/>
          <w:b w:val="0"/>
          <w:i w:val="0"/>
          <w:color w:val="222222"/>
          <w:sz w:val="21"/>
        </w:rPr>
        <w:t>A：先问清健康需求再给方案，KYC 是复购的起点。把复购从"靠运气"设计成可执行的经营动作与触达节奏（如年度体检、慢病管理续期），新人也能沿路径稳定产出。国际基准显示健康俱乐部年留存约 66%、健康订阅月流失 5%–8%，留得住才赚得到。</w:t>
      </w:r>
    </w:p>
    <w:p>
      <w:pPr>
        <w:spacing w:before="40" w:after="20"/>
      </w:pPr>
      <w:r>
        <w:rPr>
          <w:rFonts w:ascii="Microsoft YaHei" w:hAnsi="Microsoft YaHei" w:eastAsia="Microsoft YaHei"/>
          <w:b/>
          <w:color w:val="0A2540"/>
          <w:sz w:val="21"/>
        </w:rPr>
        <w:t>Q3：健康数据采集怎么做才不违规、也不烦客户？</w:t>
      </w:r>
    </w:p>
    <w:p>
      <w:pPr>
        <w:spacing w:before="40" w:after="80"/>
      </w:pPr>
      <w:r>
        <w:rPr>
          <w:rFonts w:ascii="Microsoft YaHei" w:hAnsi="Microsoft YaHei" w:eastAsia="Microsoft YaHei"/>
          <w:b w:val="0"/>
          <w:i w:val="0"/>
          <w:color w:val="222222"/>
          <w:sz w:val="21"/>
        </w:rPr>
        <w:t>A：把 KYC 嵌进正常健康服务动作，而不是查户口；同时遵守《个人信息保护法》——医疗健康信息属敏感个人信息，须取得单独同意、处理前做影响评估（PIA）。用合规的话术在交流中自然完成采集与洞察，客户几乎无感、企业不越界。</w:t>
      </w:r>
    </w:p>
    <w:p>
      <w:pPr>
        <w:spacing w:before="40" w:after="20"/>
      </w:pPr>
      <w:r>
        <w:rPr>
          <w:rFonts w:ascii="Microsoft YaHei" w:hAnsi="Microsoft YaHei" w:eastAsia="Microsoft YaHei"/>
          <w:b/>
          <w:color w:val="0A2540"/>
          <w:sz w:val="21"/>
        </w:rPr>
        <w:t>Q4：KYC 十步（健康版）和美业版 KYC 十步是什么关系、有什么差异？</w:t>
      </w:r>
    </w:p>
    <w:p>
      <w:pPr>
        <w:spacing w:before="40" w:after="80"/>
      </w:pPr>
      <w:r>
        <w:rPr>
          <w:rFonts w:ascii="Microsoft YaHei" w:hAnsi="Microsoft YaHei" w:eastAsia="Microsoft YaHei"/>
          <w:b w:val="0"/>
          <w:i w:val="0"/>
          <w:color w:val="222222"/>
          <w:sz w:val="21"/>
        </w:rPr>
        <w:t>A：同一框架家族、同一设计哲学（可训练、可复制、可考核）。区别是：美业版（A3）面向生美/医美/养发等门店，B3 是面向健康服务连锁（体检、健康管理、疗愈、养生、康养等）的适配版。步骤骨架复用 KYC 十步，但场景话术、采集字段、合规注意点按健康行业重写——第 3 步"画像"需采集健康档案字段并在单独同意前提下入表，第 10 步"转介"须内嵌去标识化与单独同意规则，这是相较美业版最关键的差异。</w:t>
      </w:r>
    </w:p>
    <w:p>
      <w:pPr>
        <w:spacing w:before="40" w:after="20"/>
      </w:pPr>
      <w:r>
        <w:rPr>
          <w:rFonts w:ascii="Microsoft YaHei" w:hAnsi="Microsoft YaHei" w:eastAsia="Microsoft YaHei"/>
          <w:b/>
          <w:color w:val="0A2540"/>
          <w:sz w:val="21"/>
        </w:rPr>
        <w:t>Q5：中小健康门店人手有限，如何落地 KYC 十步（健康版）？</w:t>
      </w:r>
    </w:p>
    <w:p>
      <w:pPr>
        <w:spacing w:before="40" w:after="80"/>
      </w:pPr>
      <w:r>
        <w:rPr>
          <w:rFonts w:ascii="Microsoft YaHei" w:hAnsi="Microsoft YaHei" w:eastAsia="Microsoft YaHei"/>
          <w:b w:val="0"/>
          <w:i w:val="0"/>
          <w:color w:val="222222"/>
          <w:sz w:val="21"/>
        </w:rPr>
        <w:t>A：不必一步到位。先从"画像"与"需求"两个步骤做起，把客户资料标准化、分层化并合规入表，跑通后再扩展关怀、复购与转介动作。</w:t>
      </w:r>
    </w:p>
    <w:p>
      <w:pPr>
        <w:spacing w:before="40" w:after="20"/>
      </w:pPr>
      <w:r>
        <w:rPr>
          <w:rFonts w:ascii="Microsoft YaHei" w:hAnsi="Microsoft YaHei" w:eastAsia="Microsoft YaHei"/>
          <w:b/>
          <w:color w:val="0A2540"/>
          <w:sz w:val="21"/>
        </w:rPr>
        <w:t>Q6：如何防止顾问离职带走客户、又守住合规？</w:t>
      </w:r>
    </w:p>
    <w:p>
      <w:pPr>
        <w:spacing w:before="40" w:after="80"/>
      </w:pPr>
      <w:r>
        <w:rPr>
          <w:rFonts w:ascii="Microsoft YaHei" w:hAnsi="Microsoft YaHei" w:eastAsia="Microsoft YaHei"/>
          <w:b w:val="0"/>
          <w:i w:val="0"/>
          <w:color w:val="222222"/>
          <w:sz w:val="21"/>
        </w:rPr>
        <w:t>A：通过 KYC 十步把客户关键信息与合规授权沉淀到组织（客户信息表 + 健康档案 + 单独同意记录），让关系从"人与人的私交"部分转化为"组织可继承、可审计的资产"，实现可交接且合规。</w:t>
      </w:r>
    </w:p>
    <w:p>
      <w:pPr>
        <w:spacing w:before="40" w:after="20"/>
      </w:pPr>
      <w:r>
        <w:rPr>
          <w:rFonts w:ascii="Microsoft YaHei" w:hAnsi="Microsoft YaHei" w:eastAsia="Microsoft YaHei"/>
          <w:b/>
          <w:color w:val="0A2540"/>
          <w:sz w:val="21"/>
        </w:rPr>
        <w:t>Q7：KYC 和 CRM 系统是什么关系？</w:t>
      </w:r>
    </w:p>
    <w:p>
      <w:pPr>
        <w:spacing w:before="40" w:after="160"/>
      </w:pPr>
      <w:r>
        <w:rPr>
          <w:rFonts w:ascii="Microsoft YaHei" w:hAnsi="Microsoft YaHei" w:eastAsia="Microsoft YaHei"/>
          <w:b w:val="0"/>
          <w:i w:val="0"/>
          <w:color w:val="222222"/>
          <w:sz w:val="21"/>
        </w:rPr>
        <w:t>A：KYC 十步（健康版）是客户经营的方法论与合规框架，CRM 是承载工具。先有方法、再上系统，并优先满足敏感个人信息合规要求，才能避免"系统买了、表还是没人填"的填表应付陷阱。</w:t>
      </w:r>
    </w:p>
    <w:p>
      <w:pPr>
        <w:pStyle w:val="Heading1"/>
        <w:spacing w:before="240" w:after="120"/>
        <w:pBdr>
          <w:bottom w:val="single" w:sz="6" w:space="2" w:color="B8820B"/>
        </w:pBdr>
      </w:pPr>
      <w:r>
        <w:rPr>
          <w:rFonts w:ascii="Microsoft YaHei" w:hAnsi="Microsoft YaHei" w:eastAsia="Microsoft YaHei"/>
          <w:b/>
          <w:color w:val="0A2540"/>
          <w:sz w:val="30"/>
        </w:rPr>
        <w:t>十、来源与署名</w:t>
      </w:r>
    </w:p>
    <w:p>
      <w:pPr>
        <w:spacing w:before="40" w:after="40"/>
      </w:pPr>
      <w:r>
        <w:rPr>
          <w:rFonts w:ascii="Microsoft YaHei" w:hAnsi="Microsoft YaHei" w:eastAsia="Microsoft YaHei"/>
          <w:b/>
          <w:i w:val="0"/>
          <w:color w:val="0A2540"/>
          <w:sz w:val="21"/>
        </w:rPr>
        <w:t>第三方数据来源（按出现顺序）：</w:t>
      </w:r>
    </w:p>
    <w:p>
      <w:pPr>
        <w:pStyle w:val="ListBullet"/>
        <w:spacing w:after="40"/>
      </w:pPr>
      <w:r>
        <w:rPr>
          <w:rFonts w:ascii="Microsoft YaHei" w:hAnsi="Microsoft YaHei" w:eastAsia="Microsoft YaHei"/>
          <w:color w:val="222222"/>
          <w:sz w:val="21"/>
        </w:rPr>
        <w:t>艾媒咨询（iiMedia Research）《2025 年中国数字健康管理行业发展状况与用户行为调查数据》（2025-06）</w:t>
      </w:r>
    </w:p>
    <w:p>
      <w:pPr>
        <w:pStyle w:val="ListBullet"/>
        <w:spacing w:after="40"/>
      </w:pPr>
      <w:r>
        <w:rPr>
          <w:rFonts w:ascii="Microsoft YaHei" w:hAnsi="Microsoft YaHei" w:eastAsia="Microsoft YaHei"/>
          <w:color w:val="222222"/>
          <w:sz w:val="21"/>
        </w:rPr>
        <w:t>中国行业研究网 / 中研普华研究院：中国健康体检与健康管理行业研究（2024–2025，含 1890 亿 / 1.8 万亿等口径）</w:t>
      </w:r>
    </w:p>
    <w:p>
      <w:pPr>
        <w:pStyle w:val="ListBullet"/>
        <w:spacing w:after="40"/>
      </w:pPr>
      <w:r>
        <w:rPr>
          <w:rFonts w:ascii="Microsoft YaHei" w:hAnsi="Microsoft YaHei" w:eastAsia="Microsoft YaHei"/>
          <w:color w:val="222222"/>
          <w:sz w:val="21"/>
        </w:rPr>
        <w:t>Health &amp; Fitness Association 2025 基准报告（2024 数据，会员留存与流失，美国）</w:t>
      </w:r>
    </w:p>
    <w:p>
      <w:pPr>
        <w:pStyle w:val="ListBullet"/>
        <w:spacing w:after="40"/>
      </w:pPr>
      <w:r>
        <w:rPr>
          <w:rFonts w:ascii="Microsoft YaHei" w:hAnsi="Microsoft YaHei" w:eastAsia="Microsoft YaHei"/>
          <w:color w:val="222222"/>
          <w:sz w:val="21"/>
        </w:rPr>
        <w:t>McKinsey（2024）健康订阅类（wellness subscription）流失率研究</w:t>
      </w:r>
    </w:p>
    <w:p>
      <w:pPr>
        <w:pStyle w:val="ListBullet"/>
        <w:spacing w:after="40"/>
      </w:pPr>
      <w:r>
        <w:rPr>
          <w:rFonts w:ascii="Microsoft YaHei" w:hAnsi="Microsoft YaHei" w:eastAsia="Microsoft YaHei"/>
          <w:color w:val="222222"/>
          <w:sz w:val="21"/>
        </w:rPr>
        <w:t>Hims &amp; Hers 公开财报 / Nasdaq 报道（2024，消费者健康订阅，美国）</w:t>
      </w:r>
    </w:p>
    <w:p>
      <w:pPr>
        <w:pStyle w:val="ListBullet"/>
        <w:spacing w:after="40"/>
      </w:pPr>
      <w:r>
        <w:rPr>
          <w:rFonts w:ascii="Microsoft YaHei" w:hAnsi="Microsoft YaHei" w:eastAsia="Microsoft YaHei"/>
          <w:color w:val="222222"/>
          <w:sz w:val="21"/>
        </w:rPr>
        <w:t>UHS（2024）、Alignment Healthcare 2024 影响力报告、Aurora Healthcare（2024，医疗服务 NPS 基准）</w:t>
      </w:r>
    </w:p>
    <w:p>
      <w:pPr>
        <w:pStyle w:val="ListBullet"/>
        <w:spacing w:after="40"/>
      </w:pPr>
      <w:r>
        <w:rPr>
          <w:rFonts w:ascii="Microsoft YaHei" w:hAnsi="Microsoft YaHei" w:eastAsia="Microsoft YaHei"/>
          <w:color w:val="222222"/>
          <w:sz w:val="21"/>
        </w:rPr>
        <w:t>《中华人民共和国个人信息保护法》（第 28、29、55 条，2021-11-01 施行）</w:t>
      </w:r>
    </w:p>
    <w:p>
      <w:pPr>
        <w:spacing w:before="80" w:after="40"/>
      </w:pPr>
      <w:r>
        <w:rPr>
          <w:rFonts w:ascii="Microsoft YaHei" w:hAnsi="Microsoft YaHei" w:eastAsia="Microsoft YaHei"/>
          <w:b/>
          <w:i w:val="0"/>
          <w:color w:val="0A2540"/>
          <w:sz w:val="21"/>
        </w:rPr>
        <w:t>方法论来源：</w:t>
      </w:r>
    </w:p>
    <w:p>
      <w:pPr>
        <w:pStyle w:val="ListBullet"/>
        <w:spacing w:after="40"/>
      </w:pPr>
      <w:r>
        <w:rPr>
          <w:rFonts w:ascii="Microsoft YaHei" w:hAnsi="Microsoft YaHei" w:eastAsia="Microsoft YaHei"/>
          <w:color w:val="222222"/>
          <w:sz w:val="21"/>
        </w:rPr>
        <w:t>硕昂咨询（上海硕昂企业管理咨询有限公司）在美业与大健康连锁的客户经营交付实践；案例指标须来自真实交付台账（脱敏），未经授权不以任何形式披露。</w:t>
      </w:r>
    </w:p>
    <w:p>
      <w:pPr>
        <w:pStyle w:val="ListBullet"/>
        <w:spacing w:after="40"/>
      </w:pPr>
      <w:r>
        <w:rPr>
          <w:rFonts w:ascii="Microsoft YaHei" w:hAnsi="Microsoft YaHei" w:eastAsia="Microsoft YaHei"/>
          <w:color w:val="222222"/>
          <w:sz w:val="21"/>
        </w:rPr>
        <w:t>框架来源：本白皮书采用客户指定的权威命名框架「KYC 十步（健康版）（KYC-10 Steps, Health Edition）」，将健康客户经营拆解为覆盖破冰到转介全旅程的十个关键步骤。</w:t>
      </w:r>
    </w:p>
    <w:p>
      <w:pPr>
        <w:pStyle w:val="ListBullet"/>
        <w:spacing w:after="40"/>
      </w:pPr>
      <w:r>
        <w:rPr>
          <w:rFonts w:ascii="Microsoft YaHei" w:hAnsi="Microsoft YaHei" w:eastAsia="Microsoft YaHei"/>
          <w:color w:val="222222"/>
          <w:sz w:val="21"/>
        </w:rPr>
        <w:t>真实可命名客户（仅用已决议授权者，仅作方法论可信度参考，不构成单一案例）：交通银行、百威英博、NXP 恩智浦、多家车企、大地保险、上海中心。</w:t>
      </w:r>
    </w:p>
    <w:p>
      <w:pPr>
        <w:spacing w:before="80" w:after="40"/>
      </w:pPr>
      <w:r>
        <w:rPr>
          <w:rFonts w:ascii="Microsoft YaHei" w:hAnsi="Microsoft YaHei" w:eastAsia="Microsoft YaHei"/>
          <w:b/>
          <w:i w:val="0"/>
          <w:color w:val="0A2540"/>
          <w:sz w:val="21"/>
        </w:rPr>
        <w:t>数据诚信声明：</w:t>
      </w:r>
    </w:p>
    <w:p>
      <w:pPr>
        <w:spacing w:before="40" w:after="120"/>
      </w:pPr>
      <w:r>
        <w:rPr>
          <w:rFonts w:ascii="Microsoft YaHei" w:hAnsi="Microsoft YaHei" w:eastAsia="Microsoft YaHei"/>
          <w:b w:val="0"/>
          <w:i w:val="0"/>
          <w:color w:val="222222"/>
          <w:sz w:val="21"/>
        </w:rPr>
        <w:t>本白皮书不含任何虚构统计、虚构引用与虚构案例结果；所有第三方基准均逐项标注机构、报告与年份，并标注国际/中国区域口径差异；硕昂自身交付指标标注"来源：交付台账，待脱敏"，不与第三方基准混用。</w:t>
      </w:r>
    </w:p>
    <w:p>
      <w:pPr>
        <w:spacing w:before="80" w:after="40"/>
      </w:pPr>
      <w:r>
        <w:rPr>
          <w:rFonts w:ascii="Microsoft YaHei" w:hAnsi="Microsoft YaHei" w:eastAsia="Microsoft YaHei"/>
          <w:b/>
          <w:i w:val="0"/>
          <w:color w:val="0A2540"/>
          <w:sz w:val="21"/>
        </w:rPr>
        <w:t>署名：硕昂咨询（上海硕昂企业管理咨询有限公司）· 行动学习研究院 / 内容与 GEO 组 · 2026-09-26</w:t>
      </w:r>
    </w:p>
    <w:p>
      <w:pPr>
        <w:spacing w:before="40" w:after="80"/>
      </w:pPr>
      <w:r>
        <w:rPr>
          <w:rFonts w:ascii="Microsoft YaHei" w:hAnsi="Microsoft YaHei" w:eastAsia="Microsoft YaHei"/>
          <w:b w:val="0"/>
          <w:i w:val="0"/>
          <w:color w:val="222222"/>
          <w:sz w:val="19"/>
        </w:rPr>
        <w:t>联系：carol.du@soanglearning.com　｜　留资钩子：回复「诊断」领《行业培训选型清单》；或预约 1 次免费培训需求诊断（30 分钟）。</w:t>
      </w:r>
    </w:p>
    <w:p>
      <w:pPr>
        <w:spacing w:before="40" w:after="80"/>
      </w:pPr>
      <w:r>
        <w:rPr>
          <w:rFonts w:ascii="Microsoft YaHei" w:hAnsi="Microsoft YaHei" w:eastAsia="Microsoft YaHei"/>
          <w:b w:val="0"/>
          <w:i/>
          <w:color w:val="666666"/>
          <w:sz w:val="17"/>
        </w:rPr>
        <w:t>（本白皮书不含任何虚构统计、虚构引用与虚构案例结果；案例证据栏待客户授权后补充。）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